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AD2F88">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AD2F88">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DF391F" w:rsidP="00D43C35">
            <w:pPr>
              <w:rPr>
                <w:b/>
              </w:rPr>
            </w:pPr>
            <w:r>
              <w:rPr>
                <w:rStyle w:val="Firstpagetablebold"/>
              </w:rPr>
              <w:t>20 March</w:t>
            </w:r>
            <w:r w:rsidR="00D43C35">
              <w:rPr>
                <w:rStyle w:val="Firstpagetablebold"/>
              </w:rPr>
              <w:t xml:space="preserve"> </w:t>
            </w:r>
            <w:r w:rsidR="00964356">
              <w:rPr>
                <w:rStyle w:val="Firstpagetablebold"/>
              </w:rPr>
              <w:t>201</w:t>
            </w:r>
            <w:r w:rsidR="00D43C35">
              <w:rPr>
                <w:rStyle w:val="Firstpagetablebold"/>
              </w:rPr>
              <w:t>8</w:t>
            </w:r>
          </w:p>
        </w:tc>
      </w:tr>
      <w:tr w:rsidR="00CE544A" w:rsidRPr="00975B07" w:rsidTr="00AD2F88">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964356" w:rsidP="00964356">
            <w:pPr>
              <w:rPr>
                <w:rStyle w:val="Firstpagetablebold"/>
              </w:rPr>
            </w:pPr>
            <w:r>
              <w:rPr>
                <w:rStyle w:val="Firstpagetablebold"/>
              </w:rPr>
              <w:t>Head of Housing Services</w:t>
            </w:r>
          </w:p>
        </w:tc>
      </w:tr>
      <w:tr w:rsidR="00CE544A" w:rsidRPr="00975B07" w:rsidTr="00AD2F88">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964356" w:rsidP="00D43C35">
            <w:pPr>
              <w:rPr>
                <w:rStyle w:val="Firstpagetablebold"/>
              </w:rPr>
            </w:pPr>
            <w:r>
              <w:rPr>
                <w:rStyle w:val="Firstpagetablebold"/>
              </w:rPr>
              <w:t xml:space="preserve">Draft </w:t>
            </w:r>
            <w:r w:rsidR="00D43C35">
              <w:rPr>
                <w:rStyle w:val="Firstpagetablebold"/>
              </w:rPr>
              <w:t>Tenancy</w:t>
            </w:r>
            <w:r>
              <w:rPr>
                <w:rStyle w:val="Firstpagetablebold"/>
              </w:rPr>
              <w:t xml:space="preserve"> Strategy </w:t>
            </w:r>
            <w:r w:rsidR="00D43C35">
              <w:rPr>
                <w:rStyle w:val="Firstpagetablebold"/>
              </w:rPr>
              <w:t xml:space="preserve">and Tenancy Policy </w:t>
            </w:r>
            <w:r>
              <w:rPr>
                <w:rStyle w:val="Firstpagetablebold"/>
              </w:rPr>
              <w:t>2018-</w:t>
            </w:r>
            <w:r w:rsidR="00D90B4E">
              <w:rPr>
                <w:rStyle w:val="Firstpagetablebold"/>
              </w:rPr>
              <w:t>20</w:t>
            </w:r>
            <w:r>
              <w:rPr>
                <w:rStyle w:val="Firstpagetablebold"/>
              </w:rPr>
              <w:t>2</w:t>
            </w:r>
            <w:r w:rsidR="00DF391F">
              <w:rPr>
                <w:rStyle w:val="Firstpagetablebold"/>
              </w:rPr>
              <w:t>3</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964356" w:rsidP="006D1EC8">
            <w:r>
              <w:t xml:space="preserve">To </w:t>
            </w:r>
            <w:r w:rsidR="00D943CF">
              <w:t xml:space="preserve">request that the </w:t>
            </w:r>
            <w:r w:rsidR="00751270">
              <w:t xml:space="preserve">City Executive Board approve </w:t>
            </w:r>
            <w:r w:rsidR="006D1EC8">
              <w:t xml:space="preserve">the </w:t>
            </w:r>
            <w:r>
              <w:t xml:space="preserve">Draft </w:t>
            </w:r>
            <w:r w:rsidR="00D43C35">
              <w:t>Tenancy</w:t>
            </w:r>
            <w:r>
              <w:t xml:space="preserve"> Strategy</w:t>
            </w:r>
            <w:r w:rsidR="00D43C35">
              <w:t xml:space="preserve"> and Tenancy Policy</w:t>
            </w:r>
            <w:r w:rsidR="00DF391F">
              <w:t xml:space="preserve"> 2018-</w:t>
            </w:r>
            <w:r w:rsidR="00D90B4E">
              <w:t>20</w:t>
            </w:r>
            <w:r w:rsidR="00DF391F">
              <w:t>23</w:t>
            </w:r>
            <w:r>
              <w:t xml:space="preserve"> </w:t>
            </w:r>
            <w:r w:rsidR="00D943CF">
              <w:t xml:space="preserve">(and associated appendices) </w:t>
            </w:r>
            <w:r w:rsidR="00D90B4E">
              <w:t>a</w:t>
            </w:r>
            <w:r w:rsidR="00D943CF">
              <w:t xml:space="preserve">s </w:t>
            </w:r>
            <w:r w:rsidR="00D90B4E">
              <w:t xml:space="preserve">draft documents to be published </w:t>
            </w:r>
            <w:r>
              <w:t>for a period of public consultation</w:t>
            </w:r>
            <w:r w:rsidR="00C81280">
              <w:t>.</w:t>
            </w:r>
            <w:r>
              <w:t xml:space="preserve">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964356">
            <w:r w:rsidRPr="001356F1">
              <w:t xml:space="preserve">Yes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964356">
            <w:r w:rsidRPr="001356F1">
              <w:t xml:space="preserve">Councillor </w:t>
            </w:r>
            <w:r w:rsidR="00964356">
              <w:t>Mike Rowley, Board Member for Housing</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E459E" w:rsidP="007E459E">
            <w:r>
              <w:t>Meeting Housing Needs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90B4E" w:rsidRDefault="00D90B4E" w:rsidP="007E459E">
            <w:r>
              <w:t xml:space="preserve">Housing and Homelessness Strategy 2018-21 </w:t>
            </w:r>
          </w:p>
          <w:p w:rsidR="00D5547E" w:rsidRPr="001356F1" w:rsidRDefault="00D43C35" w:rsidP="007E459E">
            <w:r>
              <w:t>Tenancy</w:t>
            </w:r>
            <w:r w:rsidR="007E459E">
              <w:t xml:space="preserve"> Strategy</w:t>
            </w:r>
            <w:r>
              <w:t xml:space="preserve"> and Policy Statement 2013</w:t>
            </w:r>
            <w:r w:rsidR="007E459E">
              <w:t>-18</w:t>
            </w:r>
            <w:r w:rsidR="00D5547E" w:rsidRPr="001356F1">
              <w:t>.</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DE71BA" w:rsidP="00DE71BA">
            <w:r>
              <w:rPr>
                <w:rStyle w:val="Firstpagetablebold"/>
              </w:rPr>
              <w:t>Recommendation</w:t>
            </w:r>
            <w:r w:rsidR="005F7F7E">
              <w:rPr>
                <w:rStyle w:val="Firstpagetablebold"/>
              </w:rPr>
              <w:t>:</w:t>
            </w:r>
            <w:r w:rsidR="00BA7C42">
              <w:rPr>
                <w:rStyle w:val="Firstpagetablebold"/>
              </w:rPr>
              <w:t xml:space="preserve"> </w:t>
            </w:r>
            <w:bookmarkStart w:id="0" w:name="_GoBack"/>
            <w:bookmarkEnd w:id="0"/>
            <w:r w:rsidR="005F7F7E">
              <w:rPr>
                <w:rStyle w:val="Firstpagetablebold"/>
              </w:rPr>
              <w:t>That the City Executive Board resolves to:</w:t>
            </w:r>
          </w:p>
        </w:tc>
      </w:tr>
      <w:tr w:rsidR="00266118" w:rsidRPr="00975B07" w:rsidTr="002661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266118" w:rsidRPr="00975B07" w:rsidRDefault="00266118" w:rsidP="004A6D2F">
            <w:r w:rsidRPr="00975B07">
              <w:t>1.</w:t>
            </w:r>
          </w:p>
        </w:tc>
        <w:tc>
          <w:tcPr>
            <w:tcW w:w="8419" w:type="dxa"/>
            <w:gridSpan w:val="2"/>
            <w:vMerge w:val="restart"/>
            <w:tcBorders>
              <w:top w:val="single" w:sz="8" w:space="0" w:color="000000"/>
              <w:left w:val="nil"/>
              <w:right w:val="single" w:sz="8" w:space="0" w:color="000000"/>
            </w:tcBorders>
            <w:shd w:val="clear" w:color="auto" w:fill="auto"/>
          </w:tcPr>
          <w:p w:rsidR="00EC3DC0" w:rsidRPr="001356F1" w:rsidRDefault="00266118" w:rsidP="006D1EC8">
            <w:r>
              <w:rPr>
                <w:rStyle w:val="Firstpagetablebold"/>
              </w:rPr>
              <w:t>Approve</w:t>
            </w:r>
            <w:r w:rsidR="00980E98">
              <w:t xml:space="preserve"> the </w:t>
            </w:r>
            <w:r w:rsidR="00D90B4E">
              <w:t>D</w:t>
            </w:r>
            <w:r w:rsidR="00980E98">
              <w:t xml:space="preserve">raft </w:t>
            </w:r>
            <w:r w:rsidR="00D43C35">
              <w:t>Tenancy</w:t>
            </w:r>
            <w:r w:rsidR="00980E98">
              <w:t xml:space="preserve"> Strategy</w:t>
            </w:r>
            <w:r w:rsidR="00D43C35">
              <w:t xml:space="preserve"> and Tenancy Policy</w:t>
            </w:r>
            <w:r w:rsidR="00DF391F">
              <w:t xml:space="preserve"> 2018-23</w:t>
            </w:r>
            <w:r w:rsidR="00D90B4E">
              <w:t xml:space="preserve"> </w:t>
            </w:r>
            <w:r w:rsidR="006D1EC8">
              <w:t xml:space="preserve">(and associated appendices) as draft documents to be published for a period of public and stakeholder consultation. </w:t>
            </w:r>
          </w:p>
        </w:tc>
      </w:tr>
      <w:tr w:rsidR="00266118" w:rsidRPr="00975B07" w:rsidTr="002661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266118" w:rsidRDefault="00266118" w:rsidP="004A6D2F"/>
          <w:p w:rsidR="00980E98" w:rsidRPr="00975B07" w:rsidRDefault="00980E98" w:rsidP="004A6D2F"/>
        </w:tc>
        <w:tc>
          <w:tcPr>
            <w:tcW w:w="8419" w:type="dxa"/>
            <w:gridSpan w:val="2"/>
            <w:vMerge/>
            <w:tcBorders>
              <w:left w:val="nil"/>
              <w:right w:val="single" w:sz="8" w:space="0" w:color="000000"/>
            </w:tcBorders>
            <w:shd w:val="clear" w:color="auto" w:fill="auto"/>
          </w:tcPr>
          <w:p w:rsidR="00266118" w:rsidRPr="001356F1" w:rsidRDefault="00266118" w:rsidP="002069B3"/>
        </w:tc>
      </w:tr>
      <w:tr w:rsidR="00966D42" w:rsidRPr="00975B07" w:rsidTr="006D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6D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7" w:type="dxa"/>
            <w:tcBorders>
              <w:top w:val="single" w:sz="8" w:space="0" w:color="000000"/>
              <w:left w:val="nil"/>
              <w:bottom w:val="nil"/>
              <w:right w:val="single" w:sz="8" w:space="0" w:color="000000"/>
            </w:tcBorders>
          </w:tcPr>
          <w:p w:rsidR="007E459E" w:rsidRDefault="007E459E" w:rsidP="007E459E">
            <w:r>
              <w:t xml:space="preserve">Draft </w:t>
            </w:r>
            <w:r w:rsidR="00AB52CD">
              <w:t>Tenancy</w:t>
            </w:r>
            <w:r w:rsidR="00EB3B07">
              <w:t xml:space="preserve"> Strategy 2018-23</w:t>
            </w:r>
            <w:r>
              <w:t xml:space="preserve"> with sub appendices:</w:t>
            </w:r>
          </w:p>
          <w:p w:rsidR="007E459E" w:rsidRDefault="007E459E" w:rsidP="007E459E">
            <w:r>
              <w:t xml:space="preserve">A = </w:t>
            </w:r>
            <w:r w:rsidR="00AB52CD">
              <w:t>Tenancy Policy</w:t>
            </w:r>
            <w:r>
              <w:t xml:space="preserve">; </w:t>
            </w:r>
          </w:p>
          <w:p w:rsidR="00EB3B07" w:rsidRDefault="007E459E" w:rsidP="007E459E">
            <w:r>
              <w:t xml:space="preserve">B = </w:t>
            </w:r>
            <w:r w:rsidR="00EB3B07" w:rsidRPr="00EB3B07">
              <w:t>Legislative requirements and changes</w:t>
            </w:r>
            <w:r w:rsidR="004335C7">
              <w:t>;</w:t>
            </w:r>
          </w:p>
          <w:p w:rsidR="00EB3B07" w:rsidRDefault="00EB3B07" w:rsidP="007E459E">
            <w:r>
              <w:t xml:space="preserve">C = </w:t>
            </w:r>
            <w:r w:rsidRPr="00EB3B07">
              <w:t>Oxford city context</w:t>
            </w:r>
            <w:r w:rsidR="004335C7">
              <w:t>;</w:t>
            </w:r>
          </w:p>
          <w:p w:rsidR="00ED5860" w:rsidRPr="001356F1" w:rsidRDefault="00EB3B07" w:rsidP="004335C7">
            <w:r>
              <w:t xml:space="preserve">D = </w:t>
            </w:r>
            <w:r w:rsidR="006D1EC8" w:rsidRPr="00137D1B">
              <w:t>Flexible Fixed Term Tenancies (FFTT), how will they potentially work in Oxford?</w:t>
            </w:r>
            <w:r w:rsidR="007E459E">
              <w:t xml:space="preserve"> </w:t>
            </w:r>
          </w:p>
        </w:tc>
      </w:tr>
      <w:tr w:rsidR="00ED5860" w:rsidRPr="00975B07" w:rsidTr="006D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7" w:type="dxa"/>
            <w:tcBorders>
              <w:top w:val="nil"/>
              <w:left w:val="nil"/>
              <w:bottom w:val="nil"/>
              <w:right w:val="single" w:sz="8" w:space="0" w:color="000000"/>
            </w:tcBorders>
          </w:tcPr>
          <w:p w:rsidR="00ED5860" w:rsidRPr="001356F1" w:rsidRDefault="007E459E" w:rsidP="004A6D2F">
            <w:r>
              <w:t xml:space="preserve">Initial Equality Impact Assessment </w:t>
            </w:r>
          </w:p>
        </w:tc>
      </w:tr>
      <w:tr w:rsidR="0030208D" w:rsidRPr="00975B07" w:rsidTr="006D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7" w:type="dxa"/>
            <w:tcBorders>
              <w:top w:val="nil"/>
              <w:left w:val="nil"/>
              <w:bottom w:val="nil"/>
              <w:right w:val="single" w:sz="8" w:space="0" w:color="000000"/>
            </w:tcBorders>
          </w:tcPr>
          <w:p w:rsidR="0030208D" w:rsidRPr="001356F1" w:rsidRDefault="007E459E" w:rsidP="007E459E">
            <w:r>
              <w:t>Risk Register</w:t>
            </w:r>
          </w:p>
        </w:tc>
      </w:tr>
      <w:tr w:rsidR="0030208D" w:rsidRPr="00975B07" w:rsidTr="006D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rsidR="0030208D" w:rsidRPr="00975B07" w:rsidRDefault="0030208D" w:rsidP="004A6D2F"/>
        </w:tc>
        <w:tc>
          <w:tcPr>
            <w:tcW w:w="6407" w:type="dxa"/>
            <w:tcBorders>
              <w:top w:val="nil"/>
              <w:left w:val="nil"/>
              <w:bottom w:val="single" w:sz="8" w:space="0" w:color="000000"/>
              <w:right w:val="single" w:sz="8" w:space="0" w:color="000000"/>
            </w:tcBorders>
          </w:tcPr>
          <w:p w:rsidR="0030208D" w:rsidRPr="001356F1" w:rsidRDefault="0030208D" w:rsidP="004A6D2F"/>
        </w:tc>
      </w:tr>
    </w:tbl>
    <w:p w:rsidR="004335C7" w:rsidRDefault="004335C7" w:rsidP="004A6D2F">
      <w:pPr>
        <w:pStyle w:val="Heading1"/>
      </w:pPr>
    </w:p>
    <w:p w:rsidR="00DE71BA" w:rsidRPr="00DE71BA" w:rsidRDefault="00DE71BA" w:rsidP="00DE71BA"/>
    <w:p w:rsidR="0040736F" w:rsidRPr="001356F1" w:rsidRDefault="00F66DCA" w:rsidP="004A6D2F">
      <w:pPr>
        <w:pStyle w:val="Heading1"/>
      </w:pPr>
      <w:r w:rsidRPr="001356F1">
        <w:lastRenderedPageBreak/>
        <w:t xml:space="preserve">Introduction </w:t>
      </w:r>
    </w:p>
    <w:p w:rsidR="00F54A44" w:rsidRPr="004335C7" w:rsidRDefault="00F54A44" w:rsidP="00F54A44">
      <w:pPr>
        <w:pStyle w:val="ListParagraph"/>
      </w:pPr>
      <w:r w:rsidRPr="00035EB7">
        <w:rPr>
          <w:bCs/>
        </w:rPr>
        <w:t xml:space="preserve">The Council has a duty to publish a </w:t>
      </w:r>
      <w:r w:rsidR="004335C7">
        <w:rPr>
          <w:bCs/>
        </w:rPr>
        <w:t>T</w:t>
      </w:r>
      <w:r w:rsidRPr="00035EB7">
        <w:rPr>
          <w:bCs/>
        </w:rPr>
        <w:t xml:space="preserve">enancy </w:t>
      </w:r>
      <w:r w:rsidR="004335C7">
        <w:rPr>
          <w:bCs/>
        </w:rPr>
        <w:t>S</w:t>
      </w:r>
      <w:r w:rsidRPr="00035EB7">
        <w:rPr>
          <w:bCs/>
        </w:rPr>
        <w:t>trategy</w:t>
      </w:r>
      <w:r w:rsidR="00E60130">
        <w:rPr>
          <w:bCs/>
        </w:rPr>
        <w:t xml:space="preserve"> (as a strategic housing authority)</w:t>
      </w:r>
      <w:r w:rsidRPr="00035EB7">
        <w:rPr>
          <w:bCs/>
        </w:rPr>
        <w:t xml:space="preserve"> </w:t>
      </w:r>
      <w:r w:rsidR="004335C7">
        <w:rPr>
          <w:bCs/>
        </w:rPr>
        <w:t>and Tenancy Policy</w:t>
      </w:r>
      <w:r w:rsidR="00E60130">
        <w:rPr>
          <w:bCs/>
        </w:rPr>
        <w:t xml:space="preserve"> (as a social housing provider and landlord)</w:t>
      </w:r>
      <w:r w:rsidR="004335C7">
        <w:rPr>
          <w:bCs/>
        </w:rPr>
        <w:t xml:space="preserve"> </w:t>
      </w:r>
      <w:r w:rsidRPr="00035EB7">
        <w:rPr>
          <w:bCs/>
        </w:rPr>
        <w:t>in accordance with the Localism Act 201</w:t>
      </w:r>
      <w:r>
        <w:rPr>
          <w:bCs/>
        </w:rPr>
        <w:t>1</w:t>
      </w:r>
      <w:r w:rsidRPr="00035EB7">
        <w:rPr>
          <w:bCs/>
        </w:rPr>
        <w:t xml:space="preserve">. The </w:t>
      </w:r>
      <w:r w:rsidR="004335C7">
        <w:rPr>
          <w:bCs/>
        </w:rPr>
        <w:t xml:space="preserve">Council’s </w:t>
      </w:r>
      <w:r w:rsidRPr="00035EB7">
        <w:rPr>
          <w:bCs/>
        </w:rPr>
        <w:t xml:space="preserve">current </w:t>
      </w:r>
      <w:r>
        <w:rPr>
          <w:bCs/>
        </w:rPr>
        <w:t>strategy and policy statement was produced in 2013</w:t>
      </w:r>
      <w:r w:rsidRPr="00035EB7">
        <w:rPr>
          <w:bCs/>
        </w:rPr>
        <w:t xml:space="preserve"> and is due for re</w:t>
      </w:r>
      <w:r>
        <w:rPr>
          <w:bCs/>
        </w:rPr>
        <w:t>newal</w:t>
      </w:r>
      <w:r w:rsidR="004335C7">
        <w:rPr>
          <w:bCs/>
        </w:rPr>
        <w:t xml:space="preserve"> in 2018</w:t>
      </w:r>
      <w:r>
        <w:rPr>
          <w:bCs/>
        </w:rPr>
        <w:t>.</w:t>
      </w:r>
      <w:r w:rsidR="00F80543">
        <w:rPr>
          <w:bCs/>
        </w:rPr>
        <w:t xml:space="preserve"> The commitment to renew the Tenancy Strategy in 2018 was also set out as an action in the Council’s recently adopted Housing and Homelessness Strategy 2018-21. </w:t>
      </w:r>
    </w:p>
    <w:p w:rsidR="005F431B" w:rsidRDefault="004335C7" w:rsidP="005F431B">
      <w:pPr>
        <w:pStyle w:val="ListParagraph"/>
      </w:pPr>
      <w:r>
        <w:rPr>
          <w:bCs/>
        </w:rPr>
        <w:t xml:space="preserve">To meet </w:t>
      </w:r>
      <w:r w:rsidR="00E60130">
        <w:rPr>
          <w:bCs/>
        </w:rPr>
        <w:t xml:space="preserve">legislative requirements, </w:t>
      </w:r>
      <w:r>
        <w:t>the City Council</w:t>
      </w:r>
      <w:r w:rsidR="00E60130">
        <w:t xml:space="preserve"> has developed a new draft Tenancy Strategy and Tenancy Policy and is now </w:t>
      </w:r>
      <w:r>
        <w:t>required to consult</w:t>
      </w:r>
      <w:r w:rsidR="00E60130">
        <w:t xml:space="preserve"> with </w:t>
      </w:r>
      <w:r>
        <w:t>private registered provider</w:t>
      </w:r>
      <w:r w:rsidR="00E60130">
        <w:t>s</w:t>
      </w:r>
      <w:r>
        <w:t xml:space="preserve"> of social housing in Oxford, Council Tenants, stakeholders and members of the public</w:t>
      </w:r>
      <w:r w:rsidR="00E60130">
        <w:t xml:space="preserve"> before the documents can be formally adopted.  </w:t>
      </w:r>
      <w:r>
        <w:t xml:space="preserve"> </w:t>
      </w:r>
    </w:p>
    <w:p w:rsidR="004335C7" w:rsidRPr="001B1733" w:rsidRDefault="001B1733" w:rsidP="001B1733">
      <w:pPr>
        <w:pStyle w:val="Heading1"/>
      </w:pPr>
      <w:r w:rsidRPr="001B1733">
        <w:t>Development of the strategy</w:t>
      </w:r>
      <w:r w:rsidR="00EE4DD6">
        <w:t xml:space="preserve"> and appendices</w:t>
      </w:r>
    </w:p>
    <w:p w:rsidR="005F431B" w:rsidRDefault="00E60130" w:rsidP="00E60130">
      <w:pPr>
        <w:ind w:left="360" w:hanging="360"/>
      </w:pPr>
      <w:r>
        <w:t>3.</w:t>
      </w:r>
      <w:r>
        <w:tab/>
      </w:r>
      <w:r w:rsidR="001A14A9">
        <w:t xml:space="preserve">Since the City Council’s existing Tenancy Strategy and Policy Statement was published in 2013, there have been changes to Government policy and new legislation has been introduced. </w:t>
      </w:r>
      <w:r w:rsidR="003C6499">
        <w:t>Under the Localism Act 2011, Registered Providers and Local Authorities can choose to offer Lifetime (Secure or Assured) Tenancies and Fixed Term Tenancies. A significant issue for consideration during the development of the new Tenancy Strategy for 2018-23, has been the new regulations introduced by the Housing and Planning Act 2016 which sets out a mandatory requirement for all Local Authorities to offer Flexible Fixed Term Tenancies.</w:t>
      </w:r>
      <w:r w:rsidR="005F431B">
        <w:t xml:space="preserve"> </w:t>
      </w:r>
      <w:r w:rsidR="003C6499">
        <w:t xml:space="preserve">Government guidance </w:t>
      </w:r>
      <w:r w:rsidR="00CE2FA7">
        <w:t xml:space="preserve">on the mandatory requirements </w:t>
      </w:r>
      <w:r w:rsidR="003C6499">
        <w:t>is still awaited</w:t>
      </w:r>
      <w:r w:rsidR="00CE2FA7">
        <w:t>, with no indication yet of when it is to be released.</w:t>
      </w:r>
    </w:p>
    <w:p w:rsidR="00B41B09" w:rsidRDefault="005F431B" w:rsidP="00E60130">
      <w:pPr>
        <w:ind w:left="360" w:hanging="360"/>
      </w:pPr>
      <w:r>
        <w:t>4.</w:t>
      </w:r>
      <w:r>
        <w:tab/>
      </w:r>
      <w:r w:rsidR="00CE2FA7">
        <w:t xml:space="preserve">Given this, to develop the </w:t>
      </w:r>
      <w:r w:rsidR="00630ED7">
        <w:t xml:space="preserve">new Tenancy Strategy and </w:t>
      </w:r>
      <w:r w:rsidR="00EE4DD6">
        <w:t xml:space="preserve">Tenancy </w:t>
      </w:r>
      <w:r w:rsidR="00630ED7">
        <w:t>Policy</w:t>
      </w:r>
      <w:r w:rsidR="00CE2FA7">
        <w:t xml:space="preserve"> for 2018 onwards</w:t>
      </w:r>
      <w:r w:rsidR="00630ED7">
        <w:t>, City Council officers undertook an evaluation of the Council</w:t>
      </w:r>
      <w:r w:rsidR="00EE4DD6">
        <w:t>’s</w:t>
      </w:r>
      <w:r w:rsidR="00630ED7">
        <w:t xml:space="preserve"> practices and</w:t>
      </w:r>
      <w:r w:rsidR="001D6F2A">
        <w:t xml:space="preserve"> as a benchmark, the practices</w:t>
      </w:r>
      <w:r w:rsidR="00630ED7">
        <w:t xml:space="preserve"> of</w:t>
      </w:r>
      <w:r w:rsidR="004416D9">
        <w:t xml:space="preserve"> a sample of</w:t>
      </w:r>
      <w:r w:rsidR="00630ED7">
        <w:t xml:space="preserve"> another 10</w:t>
      </w:r>
      <w:r w:rsidR="001D6F2A">
        <w:t xml:space="preserve"> similar sized </w:t>
      </w:r>
      <w:r w:rsidR="00682E3F">
        <w:t xml:space="preserve">stock-owning </w:t>
      </w:r>
      <w:r w:rsidR="00EE4DD6">
        <w:t>l</w:t>
      </w:r>
      <w:r w:rsidR="00630ED7">
        <w:t xml:space="preserve">ocal </w:t>
      </w:r>
      <w:r w:rsidR="00EE4DD6">
        <w:t>a</w:t>
      </w:r>
      <w:r w:rsidR="00630ED7">
        <w:t>uthorities in England</w:t>
      </w:r>
      <w:r w:rsidR="00682E3F">
        <w:t>.</w:t>
      </w:r>
      <w:r w:rsidR="00630ED7">
        <w:t xml:space="preserve"> This included a survey in January 2017, with the local authorities identified in Figure 1.1</w:t>
      </w:r>
      <w:r w:rsidR="00682E3F">
        <w:t>,</w:t>
      </w:r>
      <w:r w:rsidR="00630ED7">
        <w:t xml:space="preserve"> to establish</w:t>
      </w:r>
      <w:r w:rsidR="00682E3F">
        <w:t xml:space="preserve"> if they had already implemented </w:t>
      </w:r>
      <w:r w:rsidR="00630ED7">
        <w:t>Flexible Fixed Term Tenancies (FFTT)</w:t>
      </w:r>
      <w:r w:rsidR="00682E3F">
        <w:t xml:space="preserve"> under the optional arrangements introduced by the Localism Act, and also to establish what their view was on FFTTs. </w:t>
      </w:r>
      <w:r w:rsidR="00B41B09">
        <w:t xml:space="preserve">The majority of </w:t>
      </w:r>
      <w:r w:rsidR="00EE4DD6">
        <w:t>l</w:t>
      </w:r>
      <w:r w:rsidR="00B41B09">
        <w:t xml:space="preserve">ocal </w:t>
      </w:r>
      <w:r w:rsidR="00EE4DD6">
        <w:t>a</w:t>
      </w:r>
      <w:r w:rsidR="00B41B09">
        <w:t>uthorities preferred lifetime</w:t>
      </w:r>
      <w:r w:rsidR="00EE4DD6">
        <w:t xml:space="preserve"> (secure)</w:t>
      </w:r>
      <w:r w:rsidR="00B41B09">
        <w:t xml:space="preserve"> tenancies or a mixture of</w:t>
      </w:r>
      <w:r w:rsidR="00F80543">
        <w:t xml:space="preserve"> secure </w:t>
      </w:r>
      <w:r w:rsidR="00B41B09">
        <w:t>and fixed term tenancies.</w:t>
      </w:r>
    </w:p>
    <w:p w:rsidR="00682E3F" w:rsidRPr="00D25511" w:rsidRDefault="00682E3F" w:rsidP="00682E3F">
      <w:pPr>
        <w:pStyle w:val="ListParagraph"/>
        <w:numPr>
          <w:ilvl w:val="0"/>
          <w:numId w:val="0"/>
        </w:numPr>
        <w:ind w:left="360"/>
        <w:rPr>
          <w:b/>
        </w:rPr>
      </w:pPr>
      <w:r w:rsidRPr="00B41B09">
        <w:rPr>
          <w:b/>
        </w:rPr>
        <w:t>Figure 1.1:</w:t>
      </w:r>
      <w:r>
        <w:t xml:space="preserve"> </w:t>
      </w:r>
      <w:r w:rsidRPr="00D25511">
        <w:rPr>
          <w:b/>
        </w:rPr>
        <w:t>Review of other local authorities with similar amount of housing stock owned:</w:t>
      </w:r>
    </w:p>
    <w:p w:rsidR="004416D9" w:rsidRPr="004416D9" w:rsidRDefault="00CE2FA7" w:rsidP="004416D9">
      <w:pPr>
        <w:spacing w:after="0"/>
        <w:jc w:val="center"/>
        <w:rPr>
          <w:rFonts w:cs="Arial"/>
          <w:b/>
          <w:color w:val="auto"/>
        </w:rPr>
      </w:pPr>
      <w:r w:rsidRPr="004416D9">
        <w:rPr>
          <w:rFonts w:cs="Arial"/>
          <w:b/>
          <w:noProof/>
          <w:color w:val="auto"/>
        </w:rPr>
        <mc:AlternateContent>
          <mc:Choice Requires="wps">
            <w:drawing>
              <wp:anchor distT="0" distB="0" distL="114300" distR="114300" simplePos="0" relativeHeight="251659264" behindDoc="0" locked="0" layoutInCell="1" allowOverlap="1" wp14:anchorId="06FEA13E" wp14:editId="717C6D22">
                <wp:simplePos x="0" y="0"/>
                <wp:positionH relativeFrom="column">
                  <wp:posOffset>2783840</wp:posOffset>
                </wp:positionH>
                <wp:positionV relativeFrom="paragraph">
                  <wp:posOffset>647065</wp:posOffset>
                </wp:positionV>
                <wp:extent cx="981075" cy="533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33400"/>
                        </a:xfrm>
                        <a:prstGeom prst="rect">
                          <a:avLst/>
                        </a:prstGeom>
                        <a:solidFill>
                          <a:srgbClr val="FFFFFF"/>
                        </a:solidFill>
                        <a:ln w="9525">
                          <a:solidFill>
                            <a:srgbClr val="000000"/>
                          </a:solidFill>
                          <a:miter lim="800000"/>
                          <a:headEnd/>
                          <a:tailEnd/>
                        </a:ln>
                      </wps:spPr>
                      <wps:txbx>
                        <w:txbxContent>
                          <w:p w:rsidR="004416D9" w:rsidRPr="00EE03D4" w:rsidRDefault="004416D9" w:rsidP="004416D9">
                            <w:pPr>
                              <w:rPr>
                                <w:sz w:val="16"/>
                                <w:szCs w:val="16"/>
                              </w:rPr>
                            </w:pPr>
                            <w:r w:rsidRPr="00EE03D4">
                              <w:rPr>
                                <w:sz w:val="16"/>
                                <w:szCs w:val="16"/>
                              </w:rPr>
                              <w:t>Barnet, Basildon, Dartford, Westminster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2pt;margin-top:50.95pt;width:77.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">
                <v:textbox>
                  <w:txbxContent>
                    <w:p w:rsidR="004416D9" w:rsidRPr="00EE03D4" w:rsidRDefault="004416D9" w:rsidP="004416D9">
                      <w:pPr>
                        <w:rPr>
                          <w:sz w:val="16"/>
                          <w:szCs w:val="16"/>
                        </w:rPr>
                      </w:pPr>
                      <w:r w:rsidRPr="00EE03D4">
                        <w:rPr>
                          <w:sz w:val="16"/>
                          <w:szCs w:val="16"/>
                        </w:rPr>
                        <w:t>Barnet, Basildon, Dartford, Westminster</w:t>
                      </w:r>
                    </w:p>
                  </w:txbxContent>
                </v:textbox>
              </v:shape>
            </w:pict>
          </mc:Fallback>
        </mc:AlternateContent>
      </w:r>
      <w:r w:rsidRPr="004416D9">
        <w:rPr>
          <w:rFonts w:cs="Arial"/>
          <w:b/>
          <w:noProof/>
          <w:color w:val="auto"/>
        </w:rPr>
        <mc:AlternateContent>
          <mc:Choice Requires="wps">
            <w:drawing>
              <wp:anchor distT="0" distB="0" distL="114300" distR="114300" simplePos="0" relativeHeight="251660288" behindDoc="0" locked="0" layoutInCell="1" allowOverlap="1" wp14:anchorId="0C55766B" wp14:editId="45AC922E">
                <wp:simplePos x="0" y="0"/>
                <wp:positionH relativeFrom="column">
                  <wp:posOffset>619760</wp:posOffset>
                </wp:positionH>
                <wp:positionV relativeFrom="paragraph">
                  <wp:posOffset>365125</wp:posOffset>
                </wp:positionV>
                <wp:extent cx="981075" cy="655320"/>
                <wp:effectExtent l="0" t="0" r="2857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55320"/>
                        </a:xfrm>
                        <a:prstGeom prst="rect">
                          <a:avLst/>
                        </a:prstGeom>
                        <a:solidFill>
                          <a:srgbClr val="FFFFFF"/>
                        </a:solidFill>
                        <a:ln w="9525">
                          <a:solidFill>
                            <a:srgbClr val="000000"/>
                          </a:solidFill>
                          <a:miter lim="800000"/>
                          <a:headEnd/>
                          <a:tailEnd/>
                        </a:ln>
                      </wps:spPr>
                      <wps:txbx>
                        <w:txbxContent>
                          <w:p w:rsidR="004416D9" w:rsidRPr="00EE03D4" w:rsidRDefault="004416D9" w:rsidP="004416D9">
                            <w:pPr>
                              <w:rPr>
                                <w:sz w:val="16"/>
                                <w:szCs w:val="16"/>
                              </w:rPr>
                            </w:pPr>
                            <w:r w:rsidRPr="00EE03D4">
                              <w:rPr>
                                <w:sz w:val="16"/>
                                <w:szCs w:val="16"/>
                              </w:rPr>
                              <w:t>Chesterfield</w:t>
                            </w:r>
                          </w:p>
                          <w:p w:rsidR="004416D9" w:rsidRPr="00EE03D4" w:rsidRDefault="004416D9" w:rsidP="004416D9">
                            <w:pPr>
                              <w:rPr>
                                <w:sz w:val="16"/>
                                <w:szCs w:val="16"/>
                              </w:rPr>
                            </w:pPr>
                            <w:r w:rsidRPr="00EE03D4">
                              <w:rPr>
                                <w:sz w:val="16"/>
                                <w:szCs w:val="16"/>
                              </w:rPr>
                              <w:t>Colchester,</w:t>
                            </w:r>
                          </w:p>
                          <w:p w:rsidR="004416D9" w:rsidRPr="00EE03D4" w:rsidRDefault="004416D9" w:rsidP="004416D9">
                            <w:pPr>
                              <w:rPr>
                                <w:sz w:val="16"/>
                                <w:szCs w:val="16"/>
                              </w:rPr>
                            </w:pPr>
                            <w:r w:rsidRPr="00EE03D4">
                              <w:rPr>
                                <w:sz w:val="16"/>
                                <w:szCs w:val="16"/>
                              </w:rPr>
                              <w:t>Lincoln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8pt;margin-top:28.75pt;width:77.25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">
                <v:textbox>
                  <w:txbxContent>
                    <w:p w:rsidR="004416D9" w:rsidRPr="00EE03D4" w:rsidRDefault="004416D9" w:rsidP="004416D9">
                      <w:pPr>
                        <w:rPr>
                          <w:sz w:val="16"/>
                          <w:szCs w:val="16"/>
                        </w:rPr>
                      </w:pPr>
                      <w:r w:rsidRPr="00EE03D4">
                        <w:rPr>
                          <w:sz w:val="16"/>
                          <w:szCs w:val="16"/>
                        </w:rPr>
                        <w:t>Chesterfield</w:t>
                      </w:r>
                    </w:p>
                    <w:p w:rsidR="004416D9" w:rsidRPr="00EE03D4" w:rsidRDefault="004416D9" w:rsidP="004416D9">
                      <w:pPr>
                        <w:rPr>
                          <w:sz w:val="16"/>
                          <w:szCs w:val="16"/>
                        </w:rPr>
                      </w:pPr>
                      <w:r w:rsidRPr="00EE03D4">
                        <w:rPr>
                          <w:sz w:val="16"/>
                          <w:szCs w:val="16"/>
                        </w:rPr>
                        <w:t>Colchester,</w:t>
                      </w:r>
                    </w:p>
                    <w:p w:rsidR="004416D9" w:rsidRPr="00EE03D4" w:rsidRDefault="004416D9" w:rsidP="004416D9">
                      <w:pPr>
                        <w:rPr>
                          <w:sz w:val="16"/>
                          <w:szCs w:val="16"/>
                        </w:rPr>
                      </w:pPr>
                      <w:r w:rsidRPr="00EE03D4">
                        <w:rPr>
                          <w:sz w:val="16"/>
                          <w:szCs w:val="16"/>
                        </w:rPr>
                        <w:t>Lincoln</w:t>
                      </w:r>
                    </w:p>
                  </w:txbxContent>
                </v:textbox>
              </v:shape>
            </w:pict>
          </mc:Fallback>
        </mc:AlternateContent>
      </w:r>
      <w:r w:rsidRPr="004416D9">
        <w:rPr>
          <w:rFonts w:cs="Arial"/>
          <w:b/>
          <w:noProof/>
          <w:color w:val="auto"/>
        </w:rPr>
        <mc:AlternateContent>
          <mc:Choice Requires="wps">
            <w:drawing>
              <wp:anchor distT="0" distB="0" distL="114300" distR="114300" simplePos="0" relativeHeight="251661312" behindDoc="0" locked="0" layoutInCell="1" allowOverlap="1" wp14:anchorId="0870C81B" wp14:editId="69B95BAB">
                <wp:simplePos x="0" y="0"/>
                <wp:positionH relativeFrom="column">
                  <wp:posOffset>619760</wp:posOffset>
                </wp:positionH>
                <wp:positionV relativeFrom="paragraph">
                  <wp:posOffset>1706245</wp:posOffset>
                </wp:positionV>
                <wp:extent cx="845820" cy="586740"/>
                <wp:effectExtent l="0" t="0" r="1143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86740"/>
                        </a:xfrm>
                        <a:prstGeom prst="rect">
                          <a:avLst/>
                        </a:prstGeom>
                        <a:solidFill>
                          <a:srgbClr val="FFFFFF"/>
                        </a:solidFill>
                        <a:ln w="9525">
                          <a:solidFill>
                            <a:srgbClr val="000000"/>
                          </a:solidFill>
                          <a:miter lim="800000"/>
                          <a:headEnd/>
                          <a:tailEnd/>
                        </a:ln>
                      </wps:spPr>
                      <wps:txbx>
                        <w:txbxContent>
                          <w:p w:rsidR="004416D9" w:rsidRPr="00EE03D4" w:rsidRDefault="004416D9" w:rsidP="004416D9">
                            <w:pPr>
                              <w:rPr>
                                <w:sz w:val="16"/>
                                <w:szCs w:val="16"/>
                              </w:rPr>
                            </w:pPr>
                            <w:r w:rsidRPr="00EE03D4">
                              <w:rPr>
                                <w:sz w:val="16"/>
                                <w:szCs w:val="16"/>
                              </w:rPr>
                              <w:t>Cambridge, Oxford, Stevenage, Stroud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8.8pt;margin-top:134.35pt;width:66.6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">
                <v:textbox>
                  <w:txbxContent>
                    <w:p w:rsidR="004416D9" w:rsidRPr="00EE03D4" w:rsidRDefault="004416D9" w:rsidP="004416D9">
                      <w:pPr>
                        <w:rPr>
                          <w:sz w:val="16"/>
                          <w:szCs w:val="16"/>
                        </w:rPr>
                      </w:pPr>
                      <w:r w:rsidRPr="00EE03D4">
                        <w:rPr>
                          <w:sz w:val="16"/>
                          <w:szCs w:val="16"/>
                        </w:rPr>
                        <w:t>Cambridge, Oxford, Stevenage, Stroud</w:t>
                      </w:r>
                    </w:p>
                  </w:txbxContent>
                </v:textbox>
              </v:shape>
            </w:pict>
          </mc:Fallback>
        </mc:AlternateContent>
      </w:r>
      <w:r w:rsidR="004416D9" w:rsidRPr="004416D9">
        <w:rPr>
          <w:rFonts w:cs="Arial"/>
          <w:b/>
          <w:noProof/>
          <w:color w:val="auto"/>
        </w:rPr>
        <w:drawing>
          <wp:inline distT="0" distB="0" distL="0" distR="0" wp14:anchorId="01135E81" wp14:editId="5F1D244C">
            <wp:extent cx="5029200" cy="2407920"/>
            <wp:effectExtent l="0" t="0" r="1905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7940" w:rsidRDefault="005F431B" w:rsidP="00EE4DD6">
      <w:pPr>
        <w:ind w:left="360" w:hanging="360"/>
      </w:pPr>
      <w:r>
        <w:lastRenderedPageBreak/>
        <w:t>5</w:t>
      </w:r>
      <w:r w:rsidR="00EE4DD6">
        <w:t>.</w:t>
      </w:r>
      <w:r w:rsidR="00EE4DD6">
        <w:tab/>
      </w:r>
      <w:r w:rsidR="00CE2FA7">
        <w:t xml:space="preserve">Registered Providers are required </w:t>
      </w:r>
      <w:r w:rsidR="00AE7C94">
        <w:t xml:space="preserve">only </w:t>
      </w:r>
      <w:r w:rsidR="00CE2FA7">
        <w:t>to have regard to the Council’s Tena</w:t>
      </w:r>
      <w:r w:rsidR="00CE2FA7" w:rsidRPr="00DE71BA">
        <w:rPr>
          <w:i/>
        </w:rPr>
        <w:t>ncy</w:t>
      </w:r>
      <w:r w:rsidR="00CE2FA7">
        <w:t xml:space="preserve"> Strategy when setting their Tenancy Policies, processes and procedures. </w:t>
      </w:r>
      <w:r w:rsidR="00B41B09">
        <w:t xml:space="preserve">Although the </w:t>
      </w:r>
      <w:r w:rsidR="00837940">
        <w:t xml:space="preserve">City </w:t>
      </w:r>
      <w:r w:rsidR="00B41B09">
        <w:t>Council’s current Tenancy Strategy</w:t>
      </w:r>
      <w:r w:rsidR="00EE4DD6">
        <w:t xml:space="preserve"> and Policy Statement</w:t>
      </w:r>
      <w:r w:rsidR="00B41B09">
        <w:t xml:space="preserve"> 2013-18 sets out a preference for lifetime tenancies, c</w:t>
      </w:r>
      <w:r w:rsidR="00630E54">
        <w:t xml:space="preserve">ontact with 8 Registered </w:t>
      </w:r>
      <w:r w:rsidR="00B41B09">
        <w:t>P</w:t>
      </w:r>
      <w:r w:rsidR="00630E54">
        <w:t xml:space="preserve">roviders </w:t>
      </w:r>
      <w:r w:rsidR="00F908D3">
        <w:t xml:space="preserve">(RPs) </w:t>
      </w:r>
      <w:r w:rsidR="00630E54">
        <w:t>operating within the City</w:t>
      </w:r>
      <w:r w:rsidR="00B41B09">
        <w:t xml:space="preserve"> revealed that all but one were using Fixed Term Tenancies</w:t>
      </w:r>
      <w:r w:rsidR="00F908D3">
        <w:t xml:space="preserve"> (FTT)</w:t>
      </w:r>
      <w:r w:rsidR="00B41B09">
        <w:t xml:space="preserve"> for new tenants when letting their stock.</w:t>
      </w:r>
      <w:r w:rsidR="00F908D3">
        <w:t xml:space="preserve"> </w:t>
      </w:r>
      <w:r w:rsidR="00837940">
        <w:t>Generally, they offer 5-year Fixed</w:t>
      </w:r>
      <w:r w:rsidR="00EE4DD6">
        <w:t xml:space="preserve"> T</w:t>
      </w:r>
      <w:r w:rsidR="00837940">
        <w:t>erm Tenancies but have options to offer</w:t>
      </w:r>
      <w:r w:rsidR="00EE4DD6">
        <w:t xml:space="preserve"> terms of </w:t>
      </w:r>
      <w:r w:rsidR="00837940">
        <w:t>2 to 10 year</w:t>
      </w:r>
      <w:r w:rsidR="00EE4DD6">
        <w:t xml:space="preserve">s </w:t>
      </w:r>
      <w:r w:rsidR="00837940">
        <w:t xml:space="preserve">in exceptional circumstances. </w:t>
      </w:r>
      <w:r w:rsidR="00F908D3">
        <w:t xml:space="preserve">The </w:t>
      </w:r>
      <w:r w:rsidR="00837940">
        <w:t xml:space="preserve">opinion of RP’s highlighted that the </w:t>
      </w:r>
      <w:r w:rsidR="00F908D3">
        <w:t>use of FTT</w:t>
      </w:r>
      <w:r w:rsidR="00837940">
        <w:t>s</w:t>
      </w:r>
      <w:r w:rsidR="00F908D3">
        <w:t xml:space="preserve"> can be unsettling for tenants, some of wh</w:t>
      </w:r>
      <w:r w:rsidR="00AE7C94">
        <w:t>om</w:t>
      </w:r>
      <w:r w:rsidR="00F908D3">
        <w:t xml:space="preserve"> have been reluctant to move when their fixed term came to an end</w:t>
      </w:r>
      <w:r w:rsidR="00837940">
        <w:t>.</w:t>
      </w:r>
      <w:r w:rsidR="00F908D3">
        <w:t xml:space="preserve"> However, most tenants whose FTT</w:t>
      </w:r>
      <w:r w:rsidR="000B2EA9">
        <w:t>s</w:t>
      </w:r>
      <w:r w:rsidR="00F908D3">
        <w:t xml:space="preserve"> </w:t>
      </w:r>
      <w:r w:rsidR="00837940">
        <w:t xml:space="preserve">were due to end did </w:t>
      </w:r>
      <w:r w:rsidR="00F908D3">
        <w:t xml:space="preserve">not need to move and </w:t>
      </w:r>
      <w:r w:rsidR="00837940">
        <w:t xml:space="preserve">were </w:t>
      </w:r>
      <w:r w:rsidR="00F908D3">
        <w:t xml:space="preserve">given a new FTT. </w:t>
      </w:r>
      <w:r w:rsidR="00AE7C94">
        <w:t>RPs also indicated that t</w:t>
      </w:r>
      <w:r w:rsidR="00837940">
        <w:t xml:space="preserve">he use of </w:t>
      </w:r>
      <w:r w:rsidR="00EE4DD6">
        <w:t>such t</w:t>
      </w:r>
      <w:r w:rsidR="000B2EA9">
        <w:t xml:space="preserve">enancies </w:t>
      </w:r>
      <w:r w:rsidR="00837940">
        <w:t>ha</w:t>
      </w:r>
      <w:r w:rsidR="00EE4DD6">
        <w:t>s</w:t>
      </w:r>
      <w:r w:rsidR="00837940">
        <w:t xml:space="preserve"> provided </w:t>
      </w:r>
      <w:r w:rsidR="00AE7C94">
        <w:t>them</w:t>
      </w:r>
      <w:r w:rsidR="00837940">
        <w:t xml:space="preserve"> with the opportunity to manage the turnover of their housing stock more effectively to meet housing need. </w:t>
      </w:r>
    </w:p>
    <w:p w:rsidR="004335C7" w:rsidRDefault="005F431B" w:rsidP="00EE4DD6">
      <w:pPr>
        <w:ind w:left="360" w:hanging="360"/>
      </w:pPr>
      <w:r>
        <w:t>6</w:t>
      </w:r>
      <w:r w:rsidR="00EE4DD6">
        <w:t>.</w:t>
      </w:r>
      <w:r w:rsidR="00EE4DD6">
        <w:tab/>
      </w:r>
      <w:r w:rsidR="00AE7C94">
        <w:t xml:space="preserve">As mentioned earlier, Government guidance is awaited on the mandatory use of Flexible Fixed Term Tenancies by all Local Authorities (for clarity, this does not include Oxford City Housing Limited). </w:t>
      </w:r>
      <w:r w:rsidR="000B2EA9">
        <w:t xml:space="preserve">It is </w:t>
      </w:r>
      <w:r w:rsidR="00D25511">
        <w:t xml:space="preserve">anticipated </w:t>
      </w:r>
      <w:r w:rsidR="000B2EA9">
        <w:t xml:space="preserve">that the guidance will provide clarity on the expected length of any mandatory fixed term </w:t>
      </w:r>
      <w:r w:rsidR="00F82A99">
        <w:t>offered by Counci</w:t>
      </w:r>
      <w:r w:rsidR="00D25511">
        <w:t>ls</w:t>
      </w:r>
      <w:r w:rsidR="00AE7C94">
        <w:t>,</w:t>
      </w:r>
      <w:r w:rsidR="000B2EA9">
        <w:t xml:space="preserve"> and also where there may be any discretion to offer lifetime (secure) tenancies. </w:t>
      </w:r>
      <w:r w:rsidR="001F38AE">
        <w:t xml:space="preserve">Given the feedback from other local authorities and Registered Providers (see paragraphs </w:t>
      </w:r>
      <w:r w:rsidR="00AE7C94">
        <w:t>4</w:t>
      </w:r>
      <w:r w:rsidR="001F38AE">
        <w:t xml:space="preserve"> and </w:t>
      </w:r>
      <w:r w:rsidR="00AE7C94">
        <w:t>5</w:t>
      </w:r>
      <w:r w:rsidR="001F38AE">
        <w:t xml:space="preserve"> above), it</w:t>
      </w:r>
      <w:r w:rsidR="000B2EA9">
        <w:t xml:space="preserve"> is expected that operationally, </w:t>
      </w:r>
      <w:r w:rsidR="00F82A99">
        <w:t xml:space="preserve">implementation of mandatory </w:t>
      </w:r>
      <w:r w:rsidR="000B2EA9">
        <w:t>fixed term tenancies (</w:t>
      </w:r>
      <w:r w:rsidR="00F82A99">
        <w:t>which require regular and timely reviews, assessments and advice/support) w</w:t>
      </w:r>
      <w:r w:rsidR="000B2EA9">
        <w:t>ill increase the case load of staff and will impact upon resources</w:t>
      </w:r>
      <w:r w:rsidR="00CB057F">
        <w:t xml:space="preserve"> in the short to medium term</w:t>
      </w:r>
      <w:r w:rsidR="00F82A99">
        <w:t>. Longer term, there could also be an impact on communities although this would be more evident where tenants’ circumstances change and they are required to move at the end of t</w:t>
      </w:r>
      <w:r w:rsidR="001F38AE">
        <w:t xml:space="preserve">heir fixed term tenancy. How Flexible Fixed Term tenancies could potentially work in Oxford is explored in more detail in Appendix D of the new draft Tenancy Strategy document.  </w:t>
      </w:r>
    </w:p>
    <w:p w:rsidR="00F82A99" w:rsidRDefault="005F431B" w:rsidP="00EE4DD6">
      <w:pPr>
        <w:ind w:left="360" w:hanging="360"/>
      </w:pPr>
      <w:r>
        <w:t>7</w:t>
      </w:r>
      <w:r w:rsidR="00EE4DD6">
        <w:t>.</w:t>
      </w:r>
      <w:r w:rsidR="00EE4DD6">
        <w:tab/>
      </w:r>
      <w:r w:rsidR="00F82A99">
        <w:t xml:space="preserve">As the City Council’s existing Tenancy Strategy is </w:t>
      </w:r>
      <w:r w:rsidR="00E60130">
        <w:t>d</w:t>
      </w:r>
      <w:r w:rsidR="00F82A99">
        <w:t>ue to end in 2018, in the absence of Govern</w:t>
      </w:r>
      <w:r w:rsidR="00E60130">
        <w:t>ment guidance on mandatory use of Flexible Fixed term Tenancies, the new draft Tenancy Strategy and Tenancy Policy</w:t>
      </w:r>
      <w:r w:rsidR="00EE4DD6">
        <w:t xml:space="preserve"> 2018-23 sets out a continued commitment for the Council to offer </w:t>
      </w:r>
      <w:r w:rsidR="00F80543">
        <w:t xml:space="preserve">only </w:t>
      </w:r>
      <w:r w:rsidR="00EE4DD6">
        <w:t xml:space="preserve">lifetime </w:t>
      </w:r>
      <w:r w:rsidR="00F80543">
        <w:t xml:space="preserve">(secure) </w:t>
      </w:r>
      <w:r w:rsidR="00EE4DD6">
        <w:t>tenancies</w:t>
      </w:r>
      <w:r w:rsidR="00F80543">
        <w:t xml:space="preserve"> unless there is a legislative </w:t>
      </w:r>
      <w:r w:rsidR="004476AA">
        <w:t xml:space="preserve">change </w:t>
      </w:r>
      <w:r w:rsidR="00F80543">
        <w:t xml:space="preserve">or grant funding requirement to offer an alternative tenancy term. </w:t>
      </w:r>
      <w:r w:rsidR="004476AA">
        <w:t>Should there be a need to update the Tenancy Strategy</w:t>
      </w:r>
      <w:r w:rsidR="00D25511">
        <w:t>/Policy</w:t>
      </w:r>
      <w:r w:rsidR="004476AA">
        <w:t xml:space="preserve"> in relation to </w:t>
      </w:r>
      <w:r w:rsidR="00D25511">
        <w:t xml:space="preserve">implementation of </w:t>
      </w:r>
      <w:r w:rsidR="004476AA">
        <w:t xml:space="preserve">mandatory Flexible Fixed Term Tenancies, a further report and revised Tenancy Strategy and Policy will be presented to the City Executive Board. </w:t>
      </w:r>
    </w:p>
    <w:p w:rsidR="00F80543" w:rsidRDefault="005F431B" w:rsidP="00EE4DD6">
      <w:pPr>
        <w:ind w:left="360" w:hanging="360"/>
      </w:pPr>
      <w:r>
        <w:t>8</w:t>
      </w:r>
      <w:r w:rsidR="00F80543">
        <w:t>.</w:t>
      </w:r>
      <w:r w:rsidR="00F80543">
        <w:tab/>
        <w:t xml:space="preserve">In addition, the </w:t>
      </w:r>
      <w:r w:rsidR="00D25511">
        <w:t xml:space="preserve">new </w:t>
      </w:r>
      <w:r w:rsidR="004476AA">
        <w:t xml:space="preserve">draft </w:t>
      </w:r>
      <w:r w:rsidR="00D25511">
        <w:t xml:space="preserve">strategy supports a </w:t>
      </w:r>
      <w:r w:rsidR="00F80543">
        <w:t xml:space="preserve">continued offer of social rent tenure </w:t>
      </w:r>
      <w:r w:rsidR="009B5FFB">
        <w:t xml:space="preserve">in preference to </w:t>
      </w:r>
      <w:r w:rsidR="00F80543">
        <w:t xml:space="preserve">affordable rent. This is mainly due to affordability reasons set out in Appendix C of the </w:t>
      </w:r>
      <w:r w:rsidR="004476AA">
        <w:t xml:space="preserve">Tenancy Strategy </w:t>
      </w:r>
      <w:r w:rsidR="00F80543">
        <w:t xml:space="preserve">document. </w:t>
      </w:r>
    </w:p>
    <w:p w:rsidR="001F38AE" w:rsidRDefault="005F431B" w:rsidP="00EE4DD6">
      <w:pPr>
        <w:ind w:left="360" w:hanging="360"/>
      </w:pPr>
      <w:r>
        <w:t>9</w:t>
      </w:r>
      <w:r w:rsidR="001F38AE">
        <w:t>.</w:t>
      </w:r>
      <w:r w:rsidR="001F38AE">
        <w:tab/>
      </w:r>
      <w:r w:rsidR="004476AA">
        <w:t xml:space="preserve">Overall, the new draft </w:t>
      </w:r>
      <w:r w:rsidR="001F38AE">
        <w:t>Tenancy Strategy 2018-23</w:t>
      </w:r>
      <w:r w:rsidR="004476AA">
        <w:t xml:space="preserve"> </w:t>
      </w:r>
      <w:r w:rsidR="009D4832">
        <w:t xml:space="preserve">and appendices </w:t>
      </w:r>
      <w:r w:rsidR="004476AA">
        <w:t>take into account recent and emerging changes in legislation</w:t>
      </w:r>
      <w:r w:rsidR="00040498">
        <w:t>, the City Council’s Allocations Scheme</w:t>
      </w:r>
      <w:r w:rsidR="004476AA">
        <w:t xml:space="preserve"> and </w:t>
      </w:r>
      <w:r w:rsidR="009D4832">
        <w:t xml:space="preserve">also </w:t>
      </w:r>
      <w:r w:rsidR="004476AA">
        <w:t>highlights the following key objectives:</w:t>
      </w:r>
      <w:r w:rsidR="001F38AE">
        <w:t xml:space="preserve"> </w:t>
      </w:r>
    </w:p>
    <w:p w:rsidR="001F38AE" w:rsidRPr="001F38AE" w:rsidRDefault="001F38AE" w:rsidP="001F38AE">
      <w:pPr>
        <w:pStyle w:val="ListParagraph"/>
        <w:numPr>
          <w:ilvl w:val="0"/>
          <w:numId w:val="49"/>
        </w:numPr>
        <w:ind w:left="851" w:hanging="284"/>
      </w:pPr>
      <w:r>
        <w:t xml:space="preserve">To </w:t>
      </w:r>
      <w:r w:rsidRPr="00F80543">
        <w:rPr>
          <w:rFonts w:cs="Arial"/>
          <w:bCs/>
          <w:color w:val="auto"/>
        </w:rPr>
        <w:t>promote Oxford City’s housing vision with a focus to provide social rented tenancies</w:t>
      </w:r>
      <w:r>
        <w:rPr>
          <w:rFonts w:cs="Arial"/>
          <w:bCs/>
          <w:color w:val="auto"/>
        </w:rPr>
        <w:t>.</w:t>
      </w:r>
    </w:p>
    <w:p w:rsidR="001F38AE" w:rsidRPr="001F38AE" w:rsidRDefault="001F38AE" w:rsidP="001F38AE">
      <w:pPr>
        <w:pStyle w:val="ListParagraph"/>
        <w:numPr>
          <w:ilvl w:val="0"/>
          <w:numId w:val="49"/>
        </w:numPr>
        <w:ind w:left="851" w:hanging="284"/>
      </w:pPr>
      <w:r>
        <w:rPr>
          <w:rFonts w:cs="Arial"/>
          <w:bCs/>
          <w:color w:val="auto"/>
        </w:rPr>
        <w:t xml:space="preserve">To ensure that </w:t>
      </w:r>
      <w:r w:rsidRPr="00F80543">
        <w:rPr>
          <w:rFonts w:cs="Arial"/>
          <w:bCs/>
          <w:color w:val="auto"/>
        </w:rPr>
        <w:t>affordable housing providers adhere to the new Tenancy Strategy to the benefit of the local community</w:t>
      </w:r>
      <w:r>
        <w:rPr>
          <w:rFonts w:cs="Arial"/>
          <w:bCs/>
          <w:color w:val="auto"/>
        </w:rPr>
        <w:t>.</w:t>
      </w:r>
    </w:p>
    <w:p w:rsidR="001F38AE" w:rsidRPr="001F38AE" w:rsidRDefault="001F38AE" w:rsidP="001F38AE">
      <w:pPr>
        <w:pStyle w:val="ListParagraph"/>
        <w:numPr>
          <w:ilvl w:val="0"/>
          <w:numId w:val="49"/>
        </w:numPr>
        <w:ind w:left="851" w:hanging="284"/>
      </w:pPr>
      <w:r>
        <w:rPr>
          <w:rFonts w:cs="Arial"/>
          <w:bCs/>
          <w:color w:val="auto"/>
        </w:rPr>
        <w:lastRenderedPageBreak/>
        <w:t xml:space="preserve">Affordable housing </w:t>
      </w:r>
      <w:r w:rsidRPr="00F80543">
        <w:rPr>
          <w:rFonts w:cs="Arial"/>
          <w:bCs/>
          <w:color w:val="auto"/>
        </w:rPr>
        <w:t>providers are to let any new tenancies in Oxford at genuinely affordable rents i.e. in line with social rent or at Affordable Rents capped at Local Housing Allowance (or equivalent measure) levels.</w:t>
      </w:r>
    </w:p>
    <w:p w:rsidR="00040498" w:rsidRPr="00040498" w:rsidRDefault="001F38AE" w:rsidP="00040498">
      <w:pPr>
        <w:pStyle w:val="ListParagraph"/>
        <w:numPr>
          <w:ilvl w:val="0"/>
          <w:numId w:val="49"/>
        </w:numPr>
        <w:ind w:left="851" w:hanging="284"/>
      </w:pPr>
      <w:r>
        <w:rPr>
          <w:rFonts w:cs="Arial"/>
          <w:bCs/>
          <w:color w:val="auto"/>
        </w:rPr>
        <w:t xml:space="preserve">To create sustainable, mixed and balanced communities. </w:t>
      </w:r>
    </w:p>
    <w:p w:rsidR="001F38AE" w:rsidRPr="00040498" w:rsidRDefault="004476AA" w:rsidP="00040498">
      <w:pPr>
        <w:pStyle w:val="Heading1"/>
      </w:pPr>
      <w:r w:rsidRPr="00040498">
        <w:t>Consultation</w:t>
      </w:r>
      <w:r w:rsidR="00040498" w:rsidRPr="00040498">
        <w:t xml:space="preserve"> </w:t>
      </w:r>
    </w:p>
    <w:p w:rsidR="00294220" w:rsidRDefault="005F431B" w:rsidP="00040498">
      <w:pPr>
        <w:pStyle w:val="bParagraphtext"/>
        <w:numPr>
          <w:ilvl w:val="0"/>
          <w:numId w:val="0"/>
        </w:numPr>
        <w:ind w:left="360" w:hanging="360"/>
      </w:pPr>
      <w:r>
        <w:t>10</w:t>
      </w:r>
      <w:r w:rsidR="00040498">
        <w:t>.</w:t>
      </w:r>
      <w:r w:rsidR="00040498">
        <w:tab/>
        <w:t xml:space="preserve">Subject to City Executive Board approval, consultation on the draft Tenancy Strategy and associated appendices will run for a period of 4 weeks from 21 March to 19 April 2018. Consultation responses will be used to inform any changes to the strategy prior to an amended version being presented to the City Executive Board </w:t>
      </w:r>
      <w:r w:rsidR="009B5FFB">
        <w:t>by</w:t>
      </w:r>
      <w:r w:rsidR="00040498">
        <w:t xml:space="preserve"> Ju</w:t>
      </w:r>
      <w:r w:rsidR="009B5FFB">
        <w:t>ly</w:t>
      </w:r>
      <w:r w:rsidR="00040498">
        <w:t xml:space="preserve"> 2018, and to Full Council at its next meeting thereafter. </w:t>
      </w:r>
    </w:p>
    <w:p w:rsidR="00294220" w:rsidRDefault="005F431B" w:rsidP="00040498">
      <w:pPr>
        <w:pStyle w:val="bParagraphtext"/>
        <w:numPr>
          <w:ilvl w:val="0"/>
          <w:numId w:val="0"/>
        </w:numPr>
        <w:ind w:left="360" w:hanging="360"/>
      </w:pPr>
      <w:r>
        <w:t>11</w:t>
      </w:r>
      <w:r w:rsidR="00294220">
        <w:t>.</w:t>
      </w:r>
      <w:r w:rsidR="00294220">
        <w:tab/>
      </w:r>
      <w:r w:rsidR="00294220" w:rsidRPr="00294220">
        <w:t xml:space="preserve">As part of the consultation process, City Council </w:t>
      </w:r>
      <w:r w:rsidR="00210C4B">
        <w:t xml:space="preserve">officers will convene meetings with </w:t>
      </w:r>
      <w:r w:rsidR="00294220" w:rsidRPr="00294220">
        <w:t>private registered providers of social housing</w:t>
      </w:r>
      <w:r w:rsidR="007018C0">
        <w:t>,</w:t>
      </w:r>
      <w:r w:rsidR="00294220">
        <w:t xml:space="preserve"> and </w:t>
      </w:r>
      <w:r w:rsidR="00210C4B">
        <w:t xml:space="preserve">also with </w:t>
      </w:r>
      <w:r w:rsidR="00CD190E" w:rsidRPr="00CD190E">
        <w:t xml:space="preserve">a panel of tenant volunteers/ambassadors who will have the support of the Council’s Tenant Involvement Team. </w:t>
      </w:r>
      <w:r w:rsidR="007018C0" w:rsidRPr="00CD190E">
        <w:t>They, along with other statutory and non-statutory</w:t>
      </w:r>
      <w:r w:rsidR="007018C0">
        <w:t xml:space="preserve"> consultees and the general public,</w:t>
      </w:r>
      <w:r w:rsidR="00210C4B">
        <w:t xml:space="preserve"> will be asked</w:t>
      </w:r>
      <w:r w:rsidR="00294220" w:rsidRPr="00294220">
        <w:t xml:space="preserve"> to review </w:t>
      </w:r>
      <w:r w:rsidR="00210C4B">
        <w:t xml:space="preserve">and comment on </w:t>
      </w:r>
      <w:r w:rsidR="00294220" w:rsidRPr="00294220">
        <w:t>the new Draft Tenancy Strategy</w:t>
      </w:r>
      <w:r w:rsidR="00210C4B">
        <w:t xml:space="preserve"> 2018-2023 </w:t>
      </w:r>
      <w:r w:rsidR="00294220" w:rsidRPr="00294220">
        <w:t>and its implications</w:t>
      </w:r>
      <w:r w:rsidR="00210C4B">
        <w:t xml:space="preserve"> for</w:t>
      </w:r>
      <w:r w:rsidR="00294220" w:rsidRPr="00294220">
        <w:t xml:space="preserve"> the community of Oxford.</w:t>
      </w:r>
      <w:r w:rsidR="00294220">
        <w:t xml:space="preserve"> </w:t>
      </w:r>
      <w:r w:rsidR="007018C0">
        <w:t>To facilitate the wider consultation with organisations and the public, a</w:t>
      </w:r>
      <w:r w:rsidR="00294220">
        <w:t xml:space="preserve">n online survey will </w:t>
      </w:r>
      <w:r w:rsidR="007018C0">
        <w:t>b</w:t>
      </w:r>
      <w:r w:rsidR="00294220">
        <w:t>e published</w:t>
      </w:r>
      <w:r w:rsidR="007018C0">
        <w:t>. Various</w:t>
      </w:r>
      <w:r w:rsidR="00294220">
        <w:t xml:space="preserve"> media formats (</w:t>
      </w:r>
      <w:r w:rsidR="00CC40D0">
        <w:t xml:space="preserve">paper copy of the survey upon request, </w:t>
      </w:r>
      <w:r w:rsidR="00294220">
        <w:t>online</w:t>
      </w:r>
      <w:r w:rsidR="00CC40D0">
        <w:t xml:space="preserve"> information</w:t>
      </w:r>
      <w:r w:rsidR="00294220">
        <w:t>, news articles, Tenants in Touch magazine, social media posts</w:t>
      </w:r>
      <w:r w:rsidR="007018C0">
        <w:t xml:space="preserve">, posters </w:t>
      </w:r>
      <w:r w:rsidR="00851223">
        <w:t>displayed in community centres and other public buildings</w:t>
      </w:r>
      <w:r w:rsidR="00294220">
        <w:t xml:space="preserve"> etc</w:t>
      </w:r>
      <w:r w:rsidR="009D4832">
        <w:t>.</w:t>
      </w:r>
      <w:r w:rsidR="00294220">
        <w:t>) will also be utilised to publicise the consultation opportunity</w:t>
      </w:r>
      <w:r w:rsidR="007018C0">
        <w:t xml:space="preserve"> and to</w:t>
      </w:r>
      <w:r w:rsidR="00851223">
        <w:t xml:space="preserve"> help people understand </w:t>
      </w:r>
      <w:r w:rsidR="007018C0">
        <w:t>how they can get involved</w:t>
      </w:r>
      <w:r w:rsidR="00294220">
        <w:t xml:space="preserve">. </w:t>
      </w:r>
    </w:p>
    <w:p w:rsidR="0040736F" w:rsidRPr="00294220" w:rsidRDefault="002329CF" w:rsidP="00294220">
      <w:pPr>
        <w:rPr>
          <w:b/>
        </w:rPr>
      </w:pPr>
      <w:r w:rsidRPr="00294220">
        <w:rPr>
          <w:b/>
        </w:rPr>
        <w:t>Financial implications</w:t>
      </w:r>
    </w:p>
    <w:p w:rsidR="00E23BA8" w:rsidRPr="00E23BA8" w:rsidRDefault="005F431B" w:rsidP="00294220">
      <w:pPr>
        <w:ind w:left="360" w:hanging="360"/>
      </w:pPr>
      <w:r>
        <w:t>12</w:t>
      </w:r>
      <w:r w:rsidR="00234957">
        <w:t>.</w:t>
      </w:r>
      <w:r w:rsidR="00234957">
        <w:tab/>
      </w:r>
      <w:r w:rsidR="00294220">
        <w:t xml:space="preserve">None associated with the recommendations in this report. </w:t>
      </w:r>
      <w:r w:rsidR="008171FE">
        <w:t>However, the financial impact associated with the introduction of Fixed Term Tenancies, when the details are eventually provided by Government, will be modelled through the HRA Business Plan and reported accordingly.</w:t>
      </w:r>
    </w:p>
    <w:p w:rsidR="0040736F" w:rsidRPr="001356F1" w:rsidRDefault="00DA614B" w:rsidP="004A6D2F">
      <w:pPr>
        <w:pStyle w:val="Heading1"/>
      </w:pPr>
      <w:r w:rsidRPr="001356F1">
        <w:t>Legal issues</w:t>
      </w:r>
    </w:p>
    <w:p w:rsidR="006D1EC8" w:rsidRPr="001356F1" w:rsidRDefault="005F431B" w:rsidP="00A52A50">
      <w:pPr>
        <w:pStyle w:val="ListParagraph"/>
        <w:numPr>
          <w:ilvl w:val="0"/>
          <w:numId w:val="0"/>
        </w:numPr>
        <w:ind w:left="426" w:hanging="426"/>
      </w:pPr>
      <w:r>
        <w:t>13</w:t>
      </w:r>
      <w:r w:rsidR="00234957">
        <w:t xml:space="preserve">. Review of the existing Tenancy Strategy within </w:t>
      </w:r>
      <w:r w:rsidR="00701AF6">
        <w:t xml:space="preserve">5 </w:t>
      </w:r>
      <w:r w:rsidR="00234957">
        <w:t xml:space="preserve">years, and production and consultation on a new strategy prior to the expiry of the existing one, ensures that the Council is meeting its duties under the </w:t>
      </w:r>
      <w:r w:rsidR="006243AE">
        <w:t>Localism Act 2011 (section</w:t>
      </w:r>
      <w:r w:rsidR="00234957">
        <w:t>s</w:t>
      </w:r>
      <w:r w:rsidR="006243AE">
        <w:t xml:space="preserve"> 150</w:t>
      </w:r>
      <w:r w:rsidR="00234957">
        <w:t xml:space="preserve"> and 151</w:t>
      </w:r>
      <w:r w:rsidR="006243AE">
        <w:t>)</w:t>
      </w:r>
      <w:r w:rsidR="00234957">
        <w:t xml:space="preserve"> and </w:t>
      </w:r>
      <w:r w:rsidR="00234957" w:rsidRPr="00234957">
        <w:t>the Housing and Regeneration Act 2008 Part 2 Chapter 6 s196 and s197.</w:t>
      </w:r>
      <w:r w:rsidR="00A52A50">
        <w:t xml:space="preserve"> (See also paragraph 1</w:t>
      </w:r>
      <w:r w:rsidR="009B5FFB">
        <w:t>4</w:t>
      </w:r>
      <w:r w:rsidR="00A52A50">
        <w:t xml:space="preserve"> below).</w:t>
      </w:r>
    </w:p>
    <w:p w:rsidR="002329CF" w:rsidRPr="001356F1" w:rsidRDefault="002329CF" w:rsidP="004A6D2F">
      <w:pPr>
        <w:pStyle w:val="Heading1"/>
      </w:pPr>
      <w:r w:rsidRPr="001356F1">
        <w:t>Level of risk</w:t>
      </w:r>
    </w:p>
    <w:p w:rsidR="00BC69A4" w:rsidRPr="001356F1" w:rsidRDefault="005F431B" w:rsidP="000B5648">
      <w:pPr>
        <w:pStyle w:val="ListParagraph"/>
        <w:numPr>
          <w:ilvl w:val="0"/>
          <w:numId w:val="0"/>
        </w:numPr>
        <w:ind w:left="426" w:hanging="426"/>
      </w:pPr>
      <w:r>
        <w:t>14</w:t>
      </w:r>
      <w:r w:rsidR="00A52A50">
        <w:t>.</w:t>
      </w:r>
      <w:r w:rsidR="000B5648">
        <w:tab/>
      </w:r>
      <w:r w:rsidR="0086116A">
        <w:t xml:space="preserve">If the draft </w:t>
      </w:r>
      <w:r w:rsidR="001F4A89">
        <w:t>Tenancy</w:t>
      </w:r>
      <w:r w:rsidR="0086116A">
        <w:t xml:space="preserve"> Strategy</w:t>
      </w:r>
      <w:r w:rsidR="00485629">
        <w:t xml:space="preserve"> </w:t>
      </w:r>
      <w:r w:rsidR="0086116A">
        <w:t>2018-2</w:t>
      </w:r>
      <w:r w:rsidR="00A52A50">
        <w:t>3 and associated appendices are</w:t>
      </w:r>
      <w:r w:rsidR="0086116A">
        <w:t xml:space="preserve"> not approved </w:t>
      </w:r>
      <w:r w:rsidR="00A52A50">
        <w:t xml:space="preserve">for </w:t>
      </w:r>
      <w:r w:rsidR="0086116A">
        <w:t xml:space="preserve">public consultation, this will result in a delay in </w:t>
      </w:r>
      <w:r w:rsidR="00A52A50">
        <w:t xml:space="preserve">having a </w:t>
      </w:r>
      <w:r w:rsidR="009D4832">
        <w:t>new</w:t>
      </w:r>
      <w:r w:rsidR="0086116A">
        <w:t xml:space="preserve"> </w:t>
      </w:r>
      <w:r w:rsidR="00A52A50">
        <w:t>Tenancy Strategy and Tenancy Policy adopted in time to replace t</w:t>
      </w:r>
      <w:r w:rsidR="0086116A">
        <w:t xml:space="preserve">he existing </w:t>
      </w:r>
      <w:r w:rsidR="00A52A50">
        <w:t xml:space="preserve">documents when they </w:t>
      </w:r>
      <w:r w:rsidR="0086116A">
        <w:t xml:space="preserve">expire </w:t>
      </w:r>
      <w:r w:rsidR="001F4A89">
        <w:t xml:space="preserve">in </w:t>
      </w:r>
      <w:r w:rsidR="00A52A50">
        <w:t xml:space="preserve">summer </w:t>
      </w:r>
      <w:r w:rsidR="0086116A">
        <w:t xml:space="preserve">2018. This may result in the City Council being unable to meet its legislative obligations under the </w:t>
      </w:r>
      <w:r w:rsidR="001F4A89">
        <w:t>Localism Act 2011</w:t>
      </w:r>
      <w:r w:rsidR="0086116A">
        <w:t xml:space="preserve">. See Appendix </w:t>
      </w:r>
      <w:r w:rsidR="00726D40">
        <w:t>3</w:t>
      </w:r>
      <w:r w:rsidR="0086116A">
        <w:t xml:space="preserve">: </w:t>
      </w:r>
      <w:r w:rsidR="00151888" w:rsidRPr="001356F1">
        <w:t>R</w:t>
      </w:r>
      <w:r w:rsidR="002329CF" w:rsidRPr="001356F1">
        <w:t xml:space="preserve">isk </w:t>
      </w:r>
      <w:r w:rsidR="00151888" w:rsidRPr="001356F1">
        <w:t>R</w:t>
      </w:r>
      <w:r w:rsidR="0093067A" w:rsidRPr="001356F1">
        <w:t>egister.</w:t>
      </w:r>
    </w:p>
    <w:p w:rsidR="002329CF" w:rsidRPr="001356F1" w:rsidRDefault="002329CF" w:rsidP="0050321C">
      <w:pPr>
        <w:pStyle w:val="Heading1"/>
      </w:pPr>
      <w:r w:rsidRPr="001356F1">
        <w:t xml:space="preserve">Equalities impact </w:t>
      </w:r>
    </w:p>
    <w:p w:rsidR="009B5FFB" w:rsidRPr="001356F1" w:rsidRDefault="005F431B" w:rsidP="00CC40D0">
      <w:pPr>
        <w:pStyle w:val="ListParagraph"/>
        <w:numPr>
          <w:ilvl w:val="0"/>
          <w:numId w:val="0"/>
        </w:numPr>
        <w:ind w:left="426" w:hanging="426"/>
      </w:pPr>
      <w:r>
        <w:t>15</w:t>
      </w:r>
      <w:r w:rsidR="00D25511">
        <w:t>.</w:t>
      </w:r>
      <w:r w:rsidR="000B5648">
        <w:tab/>
      </w:r>
      <w:r w:rsidR="0086116A">
        <w:t xml:space="preserve">The </w:t>
      </w:r>
      <w:r w:rsidR="0093067A" w:rsidRPr="001356F1">
        <w:t>Equalities Impact Assessment</w:t>
      </w:r>
      <w:r w:rsidR="002329CF" w:rsidRPr="001356F1">
        <w:t xml:space="preserve"> </w:t>
      </w:r>
      <w:r w:rsidR="0086116A">
        <w:t xml:space="preserve">initial screening form is attached as Appendix </w:t>
      </w:r>
      <w:r w:rsidR="00726D40">
        <w:t>2</w:t>
      </w:r>
      <w:r w:rsidR="00E87F7A" w:rsidRPr="001356F1">
        <w:t>.</w:t>
      </w:r>
      <w:r w:rsidR="0086116A">
        <w:t xml:space="preserve"> No adverse equality implications </w:t>
      </w:r>
      <w:r w:rsidR="006F4122">
        <w:t xml:space="preserve">are evident at this stage. </w:t>
      </w:r>
      <w:r w:rsidR="00D25511">
        <w:t>The strategy seeks to secure affordable accommodation with security of tenure where possible for all those in housing need.</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E459E" w:rsidP="007E459E">
            <w:r>
              <w:t xml:space="preserve">Frances Evans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51270" w:rsidP="007E459E">
            <w:r>
              <w:t>Strategy &amp; Service D</w:t>
            </w:r>
            <w:r w:rsidR="007E459E">
              <w:t>evelopment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E459E" w:rsidP="007E459E">
            <w:r>
              <w:t>Housing &amp; Property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E459E">
            <w:r w:rsidRPr="001356F1">
              <w:t xml:space="preserve">01865 </w:t>
            </w:r>
            <w:r w:rsidR="007E459E">
              <w:t>252062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7E459E" w:rsidRPr="001356F1" w:rsidRDefault="00BA7C42" w:rsidP="007E459E">
            <w:pPr>
              <w:rPr>
                <w:rStyle w:val="Hyperlink"/>
                <w:color w:val="000000"/>
              </w:rPr>
            </w:pPr>
            <w:hyperlink r:id="rId10" w:history="1">
              <w:r w:rsidR="007E459E" w:rsidRPr="00613D74">
                <w:rPr>
                  <w:rStyle w:val="Hyperlink"/>
                </w:rPr>
                <w:t>fevans@oxford.gov.uk</w:t>
              </w:r>
            </w:hyperlink>
            <w:r w:rsidR="007E459E">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9069"/>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D25511">
            <w:r w:rsidRPr="001356F1">
              <w:rPr>
                <w:rStyle w:val="Firstpagetablebold"/>
              </w:rPr>
              <w:t xml:space="preserve">Background Papers: </w:t>
            </w:r>
          </w:p>
        </w:tc>
      </w:tr>
      <w:tr w:rsidR="00DF093E" w:rsidRPr="001356F1" w:rsidTr="00701AF6">
        <w:tc>
          <w:tcPr>
            <w:tcW w:w="567" w:type="dxa"/>
            <w:tcBorders>
              <w:top w:val="single" w:sz="8" w:space="0" w:color="000000"/>
              <w:left w:val="single" w:sz="8" w:space="0" w:color="000000"/>
              <w:bottom w:val="nil"/>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nil"/>
              <w:right w:val="single" w:sz="8" w:space="0" w:color="000000"/>
            </w:tcBorders>
          </w:tcPr>
          <w:p w:rsidR="00D25511" w:rsidRDefault="001F4A89" w:rsidP="00D95844">
            <w:pPr>
              <w:spacing w:after="0"/>
            </w:pPr>
            <w:r>
              <w:t>Tenancy Strategy and Policy Statement 2013</w:t>
            </w:r>
            <w:r w:rsidR="007E459E">
              <w:t>-18</w:t>
            </w:r>
          </w:p>
          <w:p w:rsidR="005F431B" w:rsidRDefault="00BA7C42" w:rsidP="00D95844">
            <w:pPr>
              <w:spacing w:after="0"/>
            </w:pPr>
            <w:hyperlink r:id="rId11" w:history="1">
              <w:r w:rsidR="005F431B" w:rsidRPr="00902CC7">
                <w:rPr>
                  <w:rStyle w:val="Hyperlink"/>
                </w:rPr>
                <w:t>https://www.oxford.gov.uk/downloads/file/912/tenancy_strategy_and_policy_statement_2013</w:t>
              </w:r>
            </w:hyperlink>
          </w:p>
          <w:p w:rsidR="005F431B" w:rsidRPr="001356F1" w:rsidRDefault="005F431B" w:rsidP="00D95844">
            <w:pPr>
              <w:spacing w:after="0"/>
            </w:pPr>
          </w:p>
        </w:tc>
      </w:tr>
      <w:tr w:rsidR="00DF093E" w:rsidRPr="001356F1" w:rsidTr="00701AF6">
        <w:tc>
          <w:tcPr>
            <w:tcW w:w="567" w:type="dxa"/>
            <w:tcBorders>
              <w:top w:val="nil"/>
              <w:left w:val="single" w:sz="8" w:space="0" w:color="000000"/>
              <w:bottom w:val="single" w:sz="4" w:space="0" w:color="auto"/>
              <w:right w:val="nil"/>
            </w:tcBorders>
            <w:shd w:val="clear" w:color="auto" w:fill="auto"/>
          </w:tcPr>
          <w:p w:rsidR="0093067A" w:rsidRPr="001356F1" w:rsidRDefault="00D25511" w:rsidP="00F41AC1">
            <w:r>
              <w:t>2</w:t>
            </w:r>
          </w:p>
        </w:tc>
        <w:tc>
          <w:tcPr>
            <w:tcW w:w="8364" w:type="dxa"/>
            <w:tcBorders>
              <w:top w:val="nil"/>
              <w:left w:val="nil"/>
              <w:bottom w:val="single" w:sz="4" w:space="0" w:color="auto"/>
              <w:right w:val="single" w:sz="8" w:space="0" w:color="000000"/>
            </w:tcBorders>
          </w:tcPr>
          <w:p w:rsidR="0093067A" w:rsidRDefault="00D25511" w:rsidP="00D95844">
            <w:pPr>
              <w:spacing w:after="0"/>
            </w:pPr>
            <w:r>
              <w:t>Housing and Homelessness Strategy 2018-21</w:t>
            </w:r>
          </w:p>
          <w:p w:rsidR="005F431B" w:rsidRDefault="00BA7C42" w:rsidP="00D95844">
            <w:pPr>
              <w:spacing w:after="0"/>
            </w:pPr>
            <w:hyperlink r:id="rId12" w:history="1">
              <w:r w:rsidR="005F431B" w:rsidRPr="00902CC7">
                <w:rPr>
                  <w:rStyle w:val="Hyperlink"/>
                </w:rPr>
                <w:t>https://www.oxford.gov.uk/info/20010/housing</w:t>
              </w:r>
            </w:hyperlink>
          </w:p>
          <w:p w:rsidR="005F431B" w:rsidRPr="001356F1" w:rsidRDefault="005F431B" w:rsidP="00D95844">
            <w:pPr>
              <w:spacing w:after="0"/>
            </w:pPr>
          </w:p>
        </w:tc>
      </w:tr>
    </w:tbl>
    <w:p w:rsidR="00CE4C87" w:rsidRDefault="00CE4C87" w:rsidP="0093067A"/>
    <w:sectPr w:rsidR="00CE4C87"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83" w:rsidRDefault="00470883" w:rsidP="004A6D2F">
      <w:r>
        <w:separator/>
      </w:r>
    </w:p>
  </w:endnote>
  <w:endnote w:type="continuationSeparator" w:id="0">
    <w:p w:rsidR="00470883" w:rsidRDefault="0047088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0B5648" w:rsidP="004A6D2F">
    <w:pPr>
      <w:pStyle w:val="Footer"/>
    </w:pPr>
    <w:r>
      <w:t>Do not use a footer or page numbers.</w:t>
    </w:r>
  </w:p>
  <w:p w:rsidR="000B5648" w:rsidRDefault="000B5648" w:rsidP="004A6D2F">
    <w:pPr>
      <w:pStyle w:val="Footer"/>
    </w:pPr>
  </w:p>
  <w:p w:rsidR="000B5648" w:rsidRDefault="000B564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0B564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83" w:rsidRDefault="00470883" w:rsidP="004A6D2F">
      <w:r>
        <w:separator/>
      </w:r>
    </w:p>
  </w:footnote>
  <w:footnote w:type="continuationSeparator" w:id="0">
    <w:p w:rsidR="00470883" w:rsidRDefault="0047088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724AA3" w:rsidP="00D5547E">
    <w:pPr>
      <w:pStyle w:val="Header"/>
      <w:jc w:val="right"/>
    </w:pPr>
    <w:r>
      <w:rPr>
        <w:noProof/>
      </w:rPr>
      <w:drawing>
        <wp:inline distT="0" distB="0" distL="0" distR="0" wp14:anchorId="4EDD70B1" wp14:editId="20390C05">
          <wp:extent cx="838200" cy="112395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6D3413"/>
    <w:multiLevelType w:val="hybridMultilevel"/>
    <w:tmpl w:val="D4D6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338"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5A15DC"/>
    <w:multiLevelType w:val="hybridMultilevel"/>
    <w:tmpl w:val="DF6AA1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49C05EF"/>
    <w:multiLevelType w:val="multilevel"/>
    <w:tmpl w:val="43D6D2FA"/>
    <w:numStyleLink w:val="StyleBulletedSymbolsymbolLeft063cmHanging063cm"/>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9621336"/>
    <w:multiLevelType w:val="hybridMultilevel"/>
    <w:tmpl w:val="5B3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DEC4E1D"/>
    <w:multiLevelType w:val="hybridMultilevel"/>
    <w:tmpl w:val="F260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2537CE"/>
    <w:multiLevelType w:val="multilevel"/>
    <w:tmpl w:val="2370EDC0"/>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2263A6A"/>
    <w:multiLevelType w:val="multilevel"/>
    <w:tmpl w:val="43D6D2FA"/>
    <w:numStyleLink w:val="StyleBulletedSymbolsymbolLeft063cmHanging063cm"/>
  </w:abstractNum>
  <w:abstractNum w:abstractNumId="23">
    <w:nsid w:val="22B35F33"/>
    <w:multiLevelType w:val="hybridMultilevel"/>
    <w:tmpl w:val="E67A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9D284E"/>
    <w:multiLevelType w:val="hybridMultilevel"/>
    <w:tmpl w:val="D29C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541E51"/>
    <w:multiLevelType w:val="hybridMultilevel"/>
    <w:tmpl w:val="8216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2B84655"/>
    <w:multiLevelType w:val="hybridMultilevel"/>
    <w:tmpl w:val="EDA46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ABA5FD8"/>
    <w:multiLevelType w:val="multilevel"/>
    <w:tmpl w:val="43D6D2FA"/>
    <w:numStyleLink w:val="StyleBulletedSymbolsymbolLeft063cmHanging063cm"/>
  </w:abstractNum>
  <w:abstractNum w:abstractNumId="36">
    <w:nsid w:val="5B4A6EDF"/>
    <w:multiLevelType w:val="hybridMultilevel"/>
    <w:tmpl w:val="B60A2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D033A1"/>
    <w:multiLevelType w:val="multilevel"/>
    <w:tmpl w:val="BEE040CC"/>
    <w:lvl w:ilvl="0">
      <w:start w:val="1"/>
      <w:numFmt w:val="bullet"/>
      <w:lvlText w:val=""/>
      <w:lvlJc w:val="left"/>
      <w:pPr>
        <w:ind w:left="720" w:hanging="360"/>
      </w:pPr>
      <w:rPr>
        <w:rFonts w:ascii="Symbol" w:hAnsi="Symbol" w:hint="default"/>
        <w:color w:val="000000"/>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2A22831"/>
    <w:multiLevelType w:val="multilevel"/>
    <w:tmpl w:val="43D6D2FA"/>
    <w:numStyleLink w:val="StyleBulletedSymbolsymbolLeft063cmHanging063cm"/>
  </w:abstractNum>
  <w:abstractNum w:abstractNumId="40">
    <w:nsid w:val="69925A1B"/>
    <w:multiLevelType w:val="hybridMultilevel"/>
    <w:tmpl w:val="F8FC92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6A102CE0"/>
    <w:multiLevelType w:val="hybridMultilevel"/>
    <w:tmpl w:val="9B6C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6D412C"/>
    <w:multiLevelType w:val="hybridMultilevel"/>
    <w:tmpl w:val="1132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4995C70"/>
    <w:multiLevelType w:val="hybridMultilevel"/>
    <w:tmpl w:val="F21E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8365C6"/>
    <w:multiLevelType w:val="multilevel"/>
    <w:tmpl w:val="E67CE66C"/>
    <w:numStyleLink w:val="StyleNumberedLeft0cmHanging075cm"/>
  </w:abstractNum>
  <w:abstractNum w:abstractNumId="48">
    <w:nsid w:val="7A277EB1"/>
    <w:multiLevelType w:val="hybridMultilevel"/>
    <w:tmpl w:val="6128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3"/>
  </w:num>
  <w:num w:numId="3">
    <w:abstractNumId w:val="31"/>
  </w:num>
  <w:num w:numId="4">
    <w:abstractNumId w:val="24"/>
  </w:num>
  <w:num w:numId="5">
    <w:abstractNumId w:val="37"/>
  </w:num>
  <w:num w:numId="6">
    <w:abstractNumId w:val="45"/>
  </w:num>
  <w:num w:numId="7">
    <w:abstractNumId w:val="30"/>
  </w:num>
  <w:num w:numId="8">
    <w:abstractNumId w:val="26"/>
  </w:num>
  <w:num w:numId="9">
    <w:abstractNumId w:val="15"/>
  </w:num>
  <w:num w:numId="10">
    <w:abstractNumId w:val="20"/>
  </w:num>
  <w:num w:numId="11">
    <w:abstractNumId w:val="33"/>
  </w:num>
  <w:num w:numId="12">
    <w:abstractNumId w:val="32"/>
  </w:num>
  <w:num w:numId="13">
    <w:abstractNumId w:val="11"/>
  </w:num>
  <w:num w:numId="14">
    <w:abstractNumId w:val="47"/>
  </w:num>
  <w:num w:numId="15">
    <w:abstractNumId w:val="21"/>
  </w:num>
  <w:num w:numId="16">
    <w:abstractNumId w:val="12"/>
  </w:num>
  <w:num w:numId="17">
    <w:abstractNumId w:val="35"/>
  </w:num>
  <w:num w:numId="18">
    <w:abstractNumId w:val="14"/>
  </w:num>
  <w:num w:numId="19">
    <w:abstractNumId w:val="39"/>
  </w:num>
  <w:num w:numId="20">
    <w:abstractNumId w:val="22"/>
  </w:num>
  <w:num w:numId="21">
    <w:abstractNumId w:val="28"/>
  </w:num>
  <w:num w:numId="22">
    <w:abstractNumId w:val="17"/>
  </w:num>
  <w:num w:numId="23">
    <w:abstractNumId w:val="4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num>
  <w:num w:numId="35">
    <w:abstractNumId w:val="13"/>
  </w:num>
  <w:num w:numId="36">
    <w:abstractNumId w:val="38"/>
  </w:num>
  <w:num w:numId="37">
    <w:abstractNumId w:val="40"/>
  </w:num>
  <w:num w:numId="38">
    <w:abstractNumId w:val="36"/>
  </w:num>
  <w:num w:numId="39">
    <w:abstractNumId w:val="27"/>
  </w:num>
  <w:num w:numId="40">
    <w:abstractNumId w:val="48"/>
  </w:num>
  <w:num w:numId="41">
    <w:abstractNumId w:val="44"/>
  </w:num>
  <w:num w:numId="42">
    <w:abstractNumId w:val="25"/>
  </w:num>
  <w:num w:numId="43">
    <w:abstractNumId w:val="41"/>
  </w:num>
  <w:num w:numId="44">
    <w:abstractNumId w:val="23"/>
  </w:num>
  <w:num w:numId="45">
    <w:abstractNumId w:val="16"/>
  </w:num>
  <w:num w:numId="46">
    <w:abstractNumId w:val="18"/>
  </w:num>
  <w:num w:numId="47">
    <w:abstractNumId w:val="10"/>
  </w:num>
  <w:num w:numId="48">
    <w:abstractNumId w:val="29"/>
  </w:num>
  <w:num w:numId="49">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80"/>
    <w:rsid w:val="000006D0"/>
    <w:rsid w:val="000117D4"/>
    <w:rsid w:val="000314D7"/>
    <w:rsid w:val="00040498"/>
    <w:rsid w:val="00042B2F"/>
    <w:rsid w:val="00045F8B"/>
    <w:rsid w:val="00046D2B"/>
    <w:rsid w:val="00056263"/>
    <w:rsid w:val="00064D8A"/>
    <w:rsid w:val="00064F82"/>
    <w:rsid w:val="00066510"/>
    <w:rsid w:val="00077523"/>
    <w:rsid w:val="00091471"/>
    <w:rsid w:val="000B2EA9"/>
    <w:rsid w:val="000B5648"/>
    <w:rsid w:val="000C089F"/>
    <w:rsid w:val="000C3928"/>
    <w:rsid w:val="000C5E8E"/>
    <w:rsid w:val="000E24C6"/>
    <w:rsid w:val="000F4751"/>
    <w:rsid w:val="0010524C"/>
    <w:rsid w:val="00111FB1"/>
    <w:rsid w:val="00113418"/>
    <w:rsid w:val="00122D13"/>
    <w:rsid w:val="001356F1"/>
    <w:rsid w:val="00136994"/>
    <w:rsid w:val="0014128E"/>
    <w:rsid w:val="00151888"/>
    <w:rsid w:val="00170A2D"/>
    <w:rsid w:val="001808BC"/>
    <w:rsid w:val="00182B81"/>
    <w:rsid w:val="0018619D"/>
    <w:rsid w:val="00187187"/>
    <w:rsid w:val="001A011E"/>
    <w:rsid w:val="001A066A"/>
    <w:rsid w:val="001A13E6"/>
    <w:rsid w:val="001A14A9"/>
    <w:rsid w:val="001A5731"/>
    <w:rsid w:val="001B1733"/>
    <w:rsid w:val="001B42C3"/>
    <w:rsid w:val="001C5D5E"/>
    <w:rsid w:val="001D678D"/>
    <w:rsid w:val="001D6F2A"/>
    <w:rsid w:val="001E03F8"/>
    <w:rsid w:val="001E1678"/>
    <w:rsid w:val="001E3376"/>
    <w:rsid w:val="001F38AE"/>
    <w:rsid w:val="001F4A89"/>
    <w:rsid w:val="002069B3"/>
    <w:rsid w:val="00210C4B"/>
    <w:rsid w:val="002329CF"/>
    <w:rsid w:val="00232F5B"/>
    <w:rsid w:val="00234957"/>
    <w:rsid w:val="00247C29"/>
    <w:rsid w:val="00260467"/>
    <w:rsid w:val="00263EA3"/>
    <w:rsid w:val="00266118"/>
    <w:rsid w:val="00281B19"/>
    <w:rsid w:val="00284F85"/>
    <w:rsid w:val="00290915"/>
    <w:rsid w:val="00294220"/>
    <w:rsid w:val="002A22E2"/>
    <w:rsid w:val="002B1644"/>
    <w:rsid w:val="002C64F7"/>
    <w:rsid w:val="002E7918"/>
    <w:rsid w:val="002F41F2"/>
    <w:rsid w:val="00300063"/>
    <w:rsid w:val="00301BF3"/>
    <w:rsid w:val="0030208D"/>
    <w:rsid w:val="00305112"/>
    <w:rsid w:val="003157FB"/>
    <w:rsid w:val="00317390"/>
    <w:rsid w:val="00323418"/>
    <w:rsid w:val="003357BF"/>
    <w:rsid w:val="003467CF"/>
    <w:rsid w:val="00364FAD"/>
    <w:rsid w:val="0036738F"/>
    <w:rsid w:val="0036759C"/>
    <w:rsid w:val="00367AE5"/>
    <w:rsid w:val="00367D71"/>
    <w:rsid w:val="0038150A"/>
    <w:rsid w:val="00397BB3"/>
    <w:rsid w:val="003B1283"/>
    <w:rsid w:val="003B6E75"/>
    <w:rsid w:val="003B7DA1"/>
    <w:rsid w:val="003C6499"/>
    <w:rsid w:val="003D0379"/>
    <w:rsid w:val="003D2574"/>
    <w:rsid w:val="003D4C59"/>
    <w:rsid w:val="003D7EEF"/>
    <w:rsid w:val="003E7053"/>
    <w:rsid w:val="003F4267"/>
    <w:rsid w:val="003F73B6"/>
    <w:rsid w:val="00404032"/>
    <w:rsid w:val="00404309"/>
    <w:rsid w:val="0040736F"/>
    <w:rsid w:val="00412C1F"/>
    <w:rsid w:val="00421CB2"/>
    <w:rsid w:val="004268B9"/>
    <w:rsid w:val="004335C7"/>
    <w:rsid w:val="00433B96"/>
    <w:rsid w:val="004416D9"/>
    <w:rsid w:val="004440F1"/>
    <w:rsid w:val="004456DD"/>
    <w:rsid w:val="00446CDF"/>
    <w:rsid w:val="004476AA"/>
    <w:rsid w:val="004521B7"/>
    <w:rsid w:val="00462AB5"/>
    <w:rsid w:val="00465EAF"/>
    <w:rsid w:val="00470883"/>
    <w:rsid w:val="004738C5"/>
    <w:rsid w:val="00485629"/>
    <w:rsid w:val="004907CF"/>
    <w:rsid w:val="00491046"/>
    <w:rsid w:val="004A2AC7"/>
    <w:rsid w:val="004A6D2F"/>
    <w:rsid w:val="004B1161"/>
    <w:rsid w:val="004C2887"/>
    <w:rsid w:val="004D2626"/>
    <w:rsid w:val="004D6E26"/>
    <w:rsid w:val="004D77D3"/>
    <w:rsid w:val="004E01E2"/>
    <w:rsid w:val="004E2959"/>
    <w:rsid w:val="004E49B8"/>
    <w:rsid w:val="004F20EF"/>
    <w:rsid w:val="005024AF"/>
    <w:rsid w:val="0050321C"/>
    <w:rsid w:val="00506C17"/>
    <w:rsid w:val="0054712D"/>
    <w:rsid w:val="00547EF6"/>
    <w:rsid w:val="005570B5"/>
    <w:rsid w:val="00567E18"/>
    <w:rsid w:val="00575F5F"/>
    <w:rsid w:val="00581805"/>
    <w:rsid w:val="00585F76"/>
    <w:rsid w:val="00591225"/>
    <w:rsid w:val="005A01FE"/>
    <w:rsid w:val="005A1C58"/>
    <w:rsid w:val="005A34E4"/>
    <w:rsid w:val="005B17F2"/>
    <w:rsid w:val="005B7FB0"/>
    <w:rsid w:val="005C35A5"/>
    <w:rsid w:val="005C577C"/>
    <w:rsid w:val="005D0621"/>
    <w:rsid w:val="005D1E27"/>
    <w:rsid w:val="005D2A3E"/>
    <w:rsid w:val="005D2B98"/>
    <w:rsid w:val="005D2D6E"/>
    <w:rsid w:val="005D4E02"/>
    <w:rsid w:val="005E022E"/>
    <w:rsid w:val="005E5215"/>
    <w:rsid w:val="005F431B"/>
    <w:rsid w:val="005F7F7E"/>
    <w:rsid w:val="0061136D"/>
    <w:rsid w:val="00614693"/>
    <w:rsid w:val="00614C10"/>
    <w:rsid w:val="00623C2F"/>
    <w:rsid w:val="006243AE"/>
    <w:rsid w:val="006305AF"/>
    <w:rsid w:val="00630E54"/>
    <w:rsid w:val="00630ED7"/>
    <w:rsid w:val="00633578"/>
    <w:rsid w:val="00637068"/>
    <w:rsid w:val="00637780"/>
    <w:rsid w:val="00650811"/>
    <w:rsid w:val="00661D3E"/>
    <w:rsid w:val="00682E3F"/>
    <w:rsid w:val="0069162E"/>
    <w:rsid w:val="00692627"/>
    <w:rsid w:val="006969E7"/>
    <w:rsid w:val="006A3643"/>
    <w:rsid w:val="006C15C4"/>
    <w:rsid w:val="006C2A29"/>
    <w:rsid w:val="006C64CF"/>
    <w:rsid w:val="006D116D"/>
    <w:rsid w:val="006D17B1"/>
    <w:rsid w:val="006D1EC8"/>
    <w:rsid w:val="006D4752"/>
    <w:rsid w:val="006D708A"/>
    <w:rsid w:val="006E14C1"/>
    <w:rsid w:val="006E4376"/>
    <w:rsid w:val="006F0292"/>
    <w:rsid w:val="006F27FA"/>
    <w:rsid w:val="006F4122"/>
    <w:rsid w:val="006F416B"/>
    <w:rsid w:val="006F519B"/>
    <w:rsid w:val="007018C0"/>
    <w:rsid w:val="00701AF6"/>
    <w:rsid w:val="00713675"/>
    <w:rsid w:val="00715823"/>
    <w:rsid w:val="00724AA3"/>
    <w:rsid w:val="00726D40"/>
    <w:rsid w:val="00731E00"/>
    <w:rsid w:val="00737B93"/>
    <w:rsid w:val="00745BF0"/>
    <w:rsid w:val="00751270"/>
    <w:rsid w:val="007615FE"/>
    <w:rsid w:val="0076655C"/>
    <w:rsid w:val="007742DC"/>
    <w:rsid w:val="00781996"/>
    <w:rsid w:val="00791437"/>
    <w:rsid w:val="0079646F"/>
    <w:rsid w:val="007B0C2C"/>
    <w:rsid w:val="007B278E"/>
    <w:rsid w:val="007C461F"/>
    <w:rsid w:val="007C5C23"/>
    <w:rsid w:val="007D128F"/>
    <w:rsid w:val="007D3C15"/>
    <w:rsid w:val="007E2A26"/>
    <w:rsid w:val="007E459E"/>
    <w:rsid w:val="007F2348"/>
    <w:rsid w:val="007F5D26"/>
    <w:rsid w:val="00803F07"/>
    <w:rsid w:val="0080749A"/>
    <w:rsid w:val="008171FE"/>
    <w:rsid w:val="00821FB8"/>
    <w:rsid w:val="00822ACD"/>
    <w:rsid w:val="00837940"/>
    <w:rsid w:val="00851223"/>
    <w:rsid w:val="00855C66"/>
    <w:rsid w:val="0086116A"/>
    <w:rsid w:val="00871EE4"/>
    <w:rsid w:val="008A5979"/>
    <w:rsid w:val="008B293F"/>
    <w:rsid w:val="008B7371"/>
    <w:rsid w:val="008D059E"/>
    <w:rsid w:val="008D3DDB"/>
    <w:rsid w:val="008F2EB6"/>
    <w:rsid w:val="008F573F"/>
    <w:rsid w:val="009034EC"/>
    <w:rsid w:val="0093067A"/>
    <w:rsid w:val="00935B56"/>
    <w:rsid w:val="00941C60"/>
    <w:rsid w:val="0094270A"/>
    <w:rsid w:val="00944506"/>
    <w:rsid w:val="009548DC"/>
    <w:rsid w:val="00964356"/>
    <w:rsid w:val="00966D42"/>
    <w:rsid w:val="00971689"/>
    <w:rsid w:val="00973E90"/>
    <w:rsid w:val="00975B07"/>
    <w:rsid w:val="00980B4A"/>
    <w:rsid w:val="00980E98"/>
    <w:rsid w:val="00997381"/>
    <w:rsid w:val="009B5FFB"/>
    <w:rsid w:val="009B6D39"/>
    <w:rsid w:val="009D4832"/>
    <w:rsid w:val="009E3101"/>
    <w:rsid w:val="009E3D0A"/>
    <w:rsid w:val="009E51FC"/>
    <w:rsid w:val="009F1D28"/>
    <w:rsid w:val="009F7618"/>
    <w:rsid w:val="00A04D23"/>
    <w:rsid w:val="00A06766"/>
    <w:rsid w:val="00A06EEA"/>
    <w:rsid w:val="00A13765"/>
    <w:rsid w:val="00A21B12"/>
    <w:rsid w:val="00A23F80"/>
    <w:rsid w:val="00A46E98"/>
    <w:rsid w:val="00A52A50"/>
    <w:rsid w:val="00A6352B"/>
    <w:rsid w:val="00A701B5"/>
    <w:rsid w:val="00A714BB"/>
    <w:rsid w:val="00A77C81"/>
    <w:rsid w:val="00A92D8F"/>
    <w:rsid w:val="00AB2988"/>
    <w:rsid w:val="00AB52CD"/>
    <w:rsid w:val="00AB7999"/>
    <w:rsid w:val="00AD2F88"/>
    <w:rsid w:val="00AD3292"/>
    <w:rsid w:val="00AE4E0A"/>
    <w:rsid w:val="00AE7AF0"/>
    <w:rsid w:val="00AE7C94"/>
    <w:rsid w:val="00B25400"/>
    <w:rsid w:val="00B40467"/>
    <w:rsid w:val="00B41B09"/>
    <w:rsid w:val="00B500CA"/>
    <w:rsid w:val="00B52727"/>
    <w:rsid w:val="00B5777B"/>
    <w:rsid w:val="00B86314"/>
    <w:rsid w:val="00BA1C2E"/>
    <w:rsid w:val="00BA41A4"/>
    <w:rsid w:val="00BA7C42"/>
    <w:rsid w:val="00BC200B"/>
    <w:rsid w:val="00BC4756"/>
    <w:rsid w:val="00BC69A4"/>
    <w:rsid w:val="00BE0680"/>
    <w:rsid w:val="00BE305F"/>
    <w:rsid w:val="00BE7BA3"/>
    <w:rsid w:val="00BF5682"/>
    <w:rsid w:val="00BF7B09"/>
    <w:rsid w:val="00C07943"/>
    <w:rsid w:val="00C20A95"/>
    <w:rsid w:val="00C2692F"/>
    <w:rsid w:val="00C3207C"/>
    <w:rsid w:val="00C36B2A"/>
    <w:rsid w:val="00C400E1"/>
    <w:rsid w:val="00C41187"/>
    <w:rsid w:val="00C63C31"/>
    <w:rsid w:val="00C709B1"/>
    <w:rsid w:val="00C757A0"/>
    <w:rsid w:val="00C760DE"/>
    <w:rsid w:val="00C81280"/>
    <w:rsid w:val="00C82630"/>
    <w:rsid w:val="00C85B4E"/>
    <w:rsid w:val="00C907F7"/>
    <w:rsid w:val="00CA2103"/>
    <w:rsid w:val="00CA2689"/>
    <w:rsid w:val="00CB057F"/>
    <w:rsid w:val="00CB539D"/>
    <w:rsid w:val="00CB6B99"/>
    <w:rsid w:val="00CC40D0"/>
    <w:rsid w:val="00CD190E"/>
    <w:rsid w:val="00CE0D48"/>
    <w:rsid w:val="00CE2FA7"/>
    <w:rsid w:val="00CE4C87"/>
    <w:rsid w:val="00CE544A"/>
    <w:rsid w:val="00CF76BB"/>
    <w:rsid w:val="00D11E1C"/>
    <w:rsid w:val="00D160B0"/>
    <w:rsid w:val="00D17F94"/>
    <w:rsid w:val="00D223FC"/>
    <w:rsid w:val="00D25511"/>
    <w:rsid w:val="00D26D1E"/>
    <w:rsid w:val="00D32756"/>
    <w:rsid w:val="00D43C35"/>
    <w:rsid w:val="00D44A31"/>
    <w:rsid w:val="00D46F6A"/>
    <w:rsid w:val="00D474CF"/>
    <w:rsid w:val="00D51622"/>
    <w:rsid w:val="00D5547E"/>
    <w:rsid w:val="00D869A1"/>
    <w:rsid w:val="00D90B4E"/>
    <w:rsid w:val="00D943CF"/>
    <w:rsid w:val="00D95844"/>
    <w:rsid w:val="00DA413F"/>
    <w:rsid w:val="00DA4584"/>
    <w:rsid w:val="00DA614B"/>
    <w:rsid w:val="00DB755B"/>
    <w:rsid w:val="00DC3060"/>
    <w:rsid w:val="00DE0FB2"/>
    <w:rsid w:val="00DE3A54"/>
    <w:rsid w:val="00DE71BA"/>
    <w:rsid w:val="00DF093E"/>
    <w:rsid w:val="00DF391F"/>
    <w:rsid w:val="00E000FB"/>
    <w:rsid w:val="00E007F9"/>
    <w:rsid w:val="00E01F42"/>
    <w:rsid w:val="00E03365"/>
    <w:rsid w:val="00E206D6"/>
    <w:rsid w:val="00E23BA8"/>
    <w:rsid w:val="00E3366E"/>
    <w:rsid w:val="00E52086"/>
    <w:rsid w:val="00E543A6"/>
    <w:rsid w:val="00E60130"/>
    <w:rsid w:val="00E60479"/>
    <w:rsid w:val="00E61D73"/>
    <w:rsid w:val="00E62A91"/>
    <w:rsid w:val="00E73684"/>
    <w:rsid w:val="00E818D6"/>
    <w:rsid w:val="00E87F7A"/>
    <w:rsid w:val="00E96BD7"/>
    <w:rsid w:val="00EA0DB1"/>
    <w:rsid w:val="00EA0EE9"/>
    <w:rsid w:val="00EB0186"/>
    <w:rsid w:val="00EB3B07"/>
    <w:rsid w:val="00EC3DC0"/>
    <w:rsid w:val="00ED52CA"/>
    <w:rsid w:val="00ED5860"/>
    <w:rsid w:val="00EE35C9"/>
    <w:rsid w:val="00EE4DD6"/>
    <w:rsid w:val="00EE75F4"/>
    <w:rsid w:val="00EF17A7"/>
    <w:rsid w:val="00F05ECA"/>
    <w:rsid w:val="00F07021"/>
    <w:rsid w:val="00F0707C"/>
    <w:rsid w:val="00F12609"/>
    <w:rsid w:val="00F3566E"/>
    <w:rsid w:val="00F375FB"/>
    <w:rsid w:val="00F41AC1"/>
    <w:rsid w:val="00F4367A"/>
    <w:rsid w:val="00F445B1"/>
    <w:rsid w:val="00F45CD4"/>
    <w:rsid w:val="00F503A7"/>
    <w:rsid w:val="00F54A44"/>
    <w:rsid w:val="00F56EAE"/>
    <w:rsid w:val="00F66DCA"/>
    <w:rsid w:val="00F74F53"/>
    <w:rsid w:val="00F7606D"/>
    <w:rsid w:val="00F80543"/>
    <w:rsid w:val="00F81670"/>
    <w:rsid w:val="00F82024"/>
    <w:rsid w:val="00F82A99"/>
    <w:rsid w:val="00F908D3"/>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EB01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EB01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3661489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xford.gov.uk/info/20010/hous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s/file/912/tenancy_strategy_and_policy_statement_201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evans@oxford.gov.uk"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Local Authority preferences of tenancy type for new tenancies</a:t>
            </a:r>
          </a:p>
        </c:rich>
      </c:tx>
      <c:overlay val="0"/>
    </c:title>
    <c:autoTitleDeleted val="0"/>
    <c:plotArea>
      <c:layout/>
      <c:pieChart>
        <c:varyColors val="1"/>
        <c:ser>
          <c:idx val="0"/>
          <c:order val="0"/>
          <c:tx>
            <c:strRef>
              <c:f>Sheet1!$B$1</c:f>
              <c:strCache>
                <c:ptCount val="1"/>
                <c:pt idx="0">
                  <c:v>Local Authority Preference for new tenancies</c:v>
                </c:pt>
              </c:strCache>
            </c:strRef>
          </c:tx>
          <c:dLbls>
            <c:dLbl>
              <c:idx val="0"/>
              <c:layout>
                <c:manualLayout>
                  <c:x val="1.3991907261592301E-2"/>
                  <c:y val="0.14207707643101988"/>
                </c:manualLayout>
              </c:layout>
              <c:tx>
                <c:rich>
                  <a:bodyPr/>
                  <a:lstStyle/>
                  <a:p>
                    <a:r>
                      <a:rPr lang="en-US"/>
                      <a:t>36.5%</a:t>
                    </a:r>
                  </a:p>
                </c:rich>
              </c:tx>
              <c:dLblPos val="bestFit"/>
              <c:showLegendKey val="0"/>
              <c:showVal val="0"/>
              <c:showCatName val="0"/>
              <c:showSerName val="0"/>
              <c:showPercent val="1"/>
              <c:showBubbleSize val="0"/>
            </c:dLbl>
            <c:dLbl>
              <c:idx val="1"/>
              <c:layout>
                <c:manualLayout>
                  <c:x val="1.5668456637266633E-2"/>
                  <c:y val="4.5075887253223781E-4"/>
                </c:manualLayout>
              </c:layout>
              <c:tx>
                <c:rich>
                  <a:bodyPr/>
                  <a:lstStyle/>
                  <a:p>
                    <a:r>
                      <a:rPr lang="en-US"/>
                      <a:t>36.5%</a:t>
                    </a:r>
                  </a:p>
                </c:rich>
              </c:tx>
              <c:dLblPos val="bestFit"/>
              <c:showLegendKey val="0"/>
              <c:showVal val="0"/>
              <c:showCatName val="0"/>
              <c:showSerName val="0"/>
              <c:showPercent val="1"/>
              <c:showBubbleSize val="0"/>
            </c:dLbl>
            <c:dLbl>
              <c:idx val="2"/>
              <c:layout>
                <c:manualLayout>
                  <c:x val="-2.5104191521514357E-2"/>
                  <c:y val="0.17581522641948238"/>
                </c:manualLayout>
              </c:layout>
              <c:tx>
                <c:rich>
                  <a:bodyPr/>
                  <a:lstStyle/>
                  <a:p>
                    <a:r>
                      <a:rPr lang="en-US"/>
                      <a:t>27%</a:t>
                    </a:r>
                  </a:p>
                </c:rich>
              </c:tx>
              <c:dLblPos val="bestFit"/>
              <c:showLegendKey val="0"/>
              <c:showVal val="1"/>
              <c:showCatName val="0"/>
              <c:showSerName val="0"/>
              <c:showPercent val="1"/>
              <c:showBubbleSize val="0"/>
            </c:dLbl>
            <c:numFmt formatCode="0%" sourceLinked="0"/>
            <c:dLblPos val="bestFit"/>
            <c:showLegendKey val="0"/>
            <c:showVal val="0"/>
            <c:showCatName val="0"/>
            <c:showSerName val="0"/>
            <c:showPercent val="1"/>
            <c:showBubbleSize val="0"/>
            <c:showLeaderLines val="0"/>
          </c:dLbls>
          <c:cat>
            <c:strRef>
              <c:f>Sheet1!$A$2:$A$4</c:f>
              <c:strCache>
                <c:ptCount val="3"/>
                <c:pt idx="0">
                  <c:v>Fixed term tenancies</c:v>
                </c:pt>
                <c:pt idx="1">
                  <c:v>Secure tenancies</c:v>
                </c:pt>
                <c:pt idx="2">
                  <c:v>Mix of Secure &amp; Fixed Term</c:v>
                </c:pt>
              </c:strCache>
            </c:strRef>
          </c:cat>
          <c:val>
            <c:numRef>
              <c:f>Sheet1!$B$2:$B$4</c:f>
              <c:numCache>
                <c:formatCode>General</c:formatCode>
                <c:ptCount val="3"/>
                <c:pt idx="0">
                  <c:v>4</c:v>
                </c:pt>
                <c:pt idx="1">
                  <c:v>4</c:v>
                </c:pt>
                <c:pt idx="2">
                  <c:v>3</c:v>
                </c:pt>
              </c:numCache>
            </c:numRef>
          </c:val>
        </c:ser>
        <c:ser>
          <c:idx val="1"/>
          <c:order val="1"/>
          <c:tx>
            <c:strRef>
              <c:f>Sheet1!$C$1</c:f>
              <c:strCache>
                <c:ptCount val="1"/>
                <c:pt idx="0">
                  <c:v>Column1</c:v>
                </c:pt>
              </c:strCache>
            </c:strRef>
          </c:tx>
          <c:cat>
            <c:strRef>
              <c:f>Sheet1!$A$2:$A$4</c:f>
              <c:strCache>
                <c:ptCount val="3"/>
                <c:pt idx="0">
                  <c:v>Fixed term tenancies</c:v>
                </c:pt>
                <c:pt idx="1">
                  <c:v>Secure tenancies</c:v>
                </c:pt>
                <c:pt idx="2">
                  <c:v>Mix of Secure &amp; Fixed Term</c:v>
                </c:pt>
              </c:strCache>
            </c:strRef>
          </c:cat>
          <c:val>
            <c:numRef>
              <c:f>Sheet1!$C$2:$C$4</c:f>
              <c:numCache>
                <c:formatCode>General</c:formatCode>
                <c:ptCount val="3"/>
                <c:pt idx="0">
                  <c:v>0</c:v>
                </c:pt>
              </c:numCache>
            </c:numRef>
          </c:val>
        </c:ser>
        <c:ser>
          <c:idx val="2"/>
          <c:order val="2"/>
          <c:tx>
            <c:strRef>
              <c:f>Sheet1!$D$1</c:f>
              <c:strCache>
                <c:ptCount val="1"/>
                <c:pt idx="0">
                  <c:v>Column2</c:v>
                </c:pt>
              </c:strCache>
            </c:strRef>
          </c:tx>
          <c:cat>
            <c:strRef>
              <c:f>Sheet1!$A$2:$A$4</c:f>
              <c:strCache>
                <c:ptCount val="3"/>
                <c:pt idx="0">
                  <c:v>Fixed term tenancies</c:v>
                </c:pt>
                <c:pt idx="1">
                  <c:v>Secure tenancies</c:v>
                </c:pt>
                <c:pt idx="2">
                  <c:v>Mix of Secure &amp; Fixed Term</c:v>
                </c:pt>
              </c:strCache>
            </c:strRef>
          </c:cat>
          <c:val>
            <c:numRef>
              <c:f>Sheet1!$D$2:$D$4</c:f>
              <c:numCache>
                <c:formatCode>General</c:formatCode>
                <c:ptCount val="3"/>
              </c:numCache>
            </c:numRef>
          </c:val>
        </c:ser>
        <c:ser>
          <c:idx val="3"/>
          <c:order val="3"/>
          <c:tx>
            <c:strRef>
              <c:f>Sheet1!$E$1</c:f>
              <c:strCache>
                <c:ptCount val="1"/>
                <c:pt idx="0">
                  <c:v>Column3</c:v>
                </c:pt>
              </c:strCache>
            </c:strRef>
          </c:tx>
          <c:cat>
            <c:strRef>
              <c:f>Sheet1!$A$2:$A$4</c:f>
              <c:strCache>
                <c:ptCount val="3"/>
                <c:pt idx="0">
                  <c:v>Fixed term tenancies</c:v>
                </c:pt>
                <c:pt idx="1">
                  <c:v>Secure tenancies</c:v>
                </c:pt>
                <c:pt idx="2">
                  <c:v>Mix of Secure &amp; Fixed Term</c:v>
                </c:pt>
              </c:strCache>
            </c:strRef>
          </c:cat>
          <c:val>
            <c:numRef>
              <c:f>Sheet1!$E$2:$E$4</c:f>
              <c:numCache>
                <c:formatCode>General</c:formatCode>
                <c:ptCount val="3"/>
              </c:numCache>
            </c:numRef>
          </c:val>
        </c:ser>
        <c:ser>
          <c:idx val="4"/>
          <c:order val="4"/>
          <c:tx>
            <c:strRef>
              <c:f>Sheet1!$F$1</c:f>
              <c:strCache>
                <c:ptCount val="1"/>
                <c:pt idx="0">
                  <c:v>Column4</c:v>
                </c:pt>
              </c:strCache>
            </c:strRef>
          </c:tx>
          <c:cat>
            <c:strRef>
              <c:f>Sheet1!$A$2:$A$4</c:f>
              <c:strCache>
                <c:ptCount val="3"/>
                <c:pt idx="0">
                  <c:v>Fixed term tenancies</c:v>
                </c:pt>
                <c:pt idx="1">
                  <c:v>Secure tenancies</c:v>
                </c:pt>
                <c:pt idx="2">
                  <c:v>Mix of Secure &amp; Fixed Term</c:v>
                </c:pt>
              </c:strCache>
            </c:strRef>
          </c:cat>
          <c:val>
            <c:numRef>
              <c:f>Sheet1!$F$2:$F$4</c:f>
              <c:numCache>
                <c:formatCode>General</c:formatCode>
                <c:ptCount val="3"/>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69080577427821521"/>
          <c:y val="0.20914429174614046"/>
          <c:w val="0.29252755905511812"/>
          <c:h val="0.64870934611434439"/>
        </c:manualLayout>
      </c:layout>
      <c:overlay val="0"/>
    </c:legend>
    <c:plotVisOnly val="1"/>
    <c:dispBlanksAs val="gap"/>
    <c:showDLblsOverMax val="0"/>
  </c:chart>
  <c:spPr>
    <a:ln cap="sq" cmpd="sng"/>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94AD-49A9-4F34-8606-83962D2C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75868340</Template>
  <TotalTime>7</TotalTime>
  <Pages>5</Pages>
  <Words>1607</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10665</CharactersWithSpaces>
  <SharedDoc>false</SharedDoc>
  <HLinks>
    <vt:vector size="6" baseType="variant">
      <vt:variant>
        <vt:i4>4915241</vt:i4>
      </vt:variant>
      <vt:variant>
        <vt:i4>0</vt:i4>
      </vt:variant>
      <vt:variant>
        <vt:i4>0</vt:i4>
      </vt:variant>
      <vt:variant>
        <vt:i4>5</vt:i4>
      </vt:variant>
      <vt:variant>
        <vt:lpwstr>mailto:fevans@oxford.gov.uk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Frances.Evans</dc:creator>
  <cp:lastModifiedBy>abrown2</cp:lastModifiedBy>
  <cp:revision>4</cp:revision>
  <cp:lastPrinted>2017-07-27T15:52:00Z</cp:lastPrinted>
  <dcterms:created xsi:type="dcterms:W3CDTF">2018-02-12T11:25:00Z</dcterms:created>
  <dcterms:modified xsi:type="dcterms:W3CDTF">2018-02-28T17:33:00Z</dcterms:modified>
</cp:coreProperties>
</file>